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DD7C9A1" wp14:editId="5A5F307B">
            <wp:extent cx="1619250" cy="1352550"/>
            <wp:effectExtent l="0" t="0" r="0" b="0"/>
            <wp:docPr id="1" name="Рисунок 1" descr="http://www.vashdom.ru/gost/21.503-80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dom.ru/gost/21.503-80/x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ГОСУДАРСТВЕННЫЙ СТАНДАРТ</w:t>
      </w: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СОЮЗА ССР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ПРОЕКТНОЙ ДОКУМЕНТАЦИИ ДЛЯ СТРОИТЕЛЬСТВА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КОНСТРУКЦИИ БЕТОННЫЕ И ЖЕЛЕЗОБЕТОННЫЕ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ЧЕРТЕЖИ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ГОСТ 21.503-80</w:t>
      </w:r>
    </w:p>
    <w:bookmarkEnd w:id="0"/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ГОСУДАРСТВЕННЫЙ КОМИТЕТ СССР</w:t>
      </w:r>
      <w:r w:rsidRPr="00177D91">
        <w:rPr>
          <w:rFonts w:ascii="Arial" w:eastAsia="Times New Roman" w:hAnsi="Arial" w:cs="Arial"/>
          <w:color w:val="000000"/>
          <w:sz w:val="18"/>
          <w:szCs w:val="18"/>
        </w:rPr>
        <w:br/>
        <w:t>ПО ДЕЛАМ СТРОИТЕЛЬСТВА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Москва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РАЗРАБОТАН Государственным ордена Трудового Красного Знамени проектным институтом «ПРОМСТРОЙПРОЕКТ», Центральным научно-исследовательским и проектно-экспериментальным институтом автоматизированных систем в строительстве (ЦНИПИАСС) Госстроя СССР, Центральным ордена Трудового Красного Знамени научно-исследовательским и проектным институтом типового и эк</w:t>
      </w:r>
      <w:r w:rsidRPr="00177D91">
        <w:rPr>
          <w:rFonts w:ascii="Arial" w:eastAsia="Times New Roman" w:hAnsi="Arial" w:cs="Arial"/>
          <w:color w:val="000000"/>
          <w:sz w:val="18"/>
          <w:szCs w:val="18"/>
        </w:rPr>
        <w:softHyphen/>
        <w:t xml:space="preserve">спериментального проектирования жилища (ЦНИИЭП жилища) </w:t>
      </w:r>
      <w:proofErr w:type="spellStart"/>
      <w:r w:rsidRPr="00177D91">
        <w:rPr>
          <w:rFonts w:ascii="Arial" w:eastAsia="Times New Roman" w:hAnsi="Arial" w:cs="Arial"/>
          <w:color w:val="000000"/>
          <w:sz w:val="18"/>
          <w:szCs w:val="18"/>
        </w:rPr>
        <w:t>Госгражданстроя</w:t>
      </w:r>
      <w:proofErr w:type="spellEnd"/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С.И. Зюзин; Л.Л. </w:t>
      </w:r>
      <w:proofErr w:type="spellStart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Хорошилкин</w:t>
      </w:r>
      <w:proofErr w:type="spellEnd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 (руководители темы); В.В. Фетисов; Б.С. Козлов; В.П. Пастернак; В.А. Рябова; А.А. Сухова; П.И. Тумаркин; Я.Г. Тимофеев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ВНЕСЕН Государственным ордена Трудового Красного Знамени проектным институтом «ПРОМСТРОЙПРОЕКТ» Госстроя СССР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 Ю.Г. Вострокнутов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 И ВВЕДЕН В ДЕЙСТВИЕ Постановлением Государственного комитета СССР по делам строительства от 22 октября 1980 г. № 166</w:t>
      </w:r>
    </w:p>
    <w:p w:rsidR="00177D91" w:rsidRPr="00177D91" w:rsidRDefault="00177D91" w:rsidP="00177D91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BC0000"/>
          <w:sz w:val="24"/>
          <w:szCs w:val="24"/>
        </w:rPr>
      </w:pPr>
      <w:r w:rsidRPr="00177D91">
        <w:rPr>
          <w:rFonts w:ascii="Arial" w:eastAsia="Times New Roman" w:hAnsi="Arial" w:cs="Arial"/>
          <w:b/>
          <w:bCs/>
          <w:color w:val="BC0000"/>
          <w:sz w:val="24"/>
          <w:szCs w:val="24"/>
        </w:rPr>
        <w:t>Содержание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7D91" w:rsidRPr="00177D91" w:rsidTr="00177D91">
        <w:trPr>
          <w:tblCellSpacing w:w="0" w:type="dxa"/>
          <w:jc w:val="center"/>
        </w:trPr>
        <w:tc>
          <w:tcPr>
            <w:tcW w:w="12315" w:type="dxa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1. ОБЩИЕ ПОЛОЖЕНИЯ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2. ОСНОВНОЙ КОМПЛЕКТ РАБОЧИХ ЧЕРТЕЖЕЙ МАРКИ КЖ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3. РАБОЧИЕ ЧЕРТЕЖИ БЕТОННЫХ И ЖЕЛЕЗОБЕТОННЫХ ЭЛЕМЕНТОВ СБОРНЫХ КОНСТРУКЦИЙ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4. СХЕМЫ АРМИРОВАНИЯ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5. ВЕДОМОСТЬ РАСХОДА СТАЛИ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6. РАБОЧИЕ ЧЕРТЕЖИ АРМАТУРНЫХ, ЗАКЛАДНЫХ И СОЕДИНИТЕЛЬНЫХ ИЗДЕЛИЯ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ПРИЛОЖЕНИЕ 1 Справочное Пример заполнения формы 1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ПРИЛОЖЕНИЕ 2 Справочное Пример выполнения спецификации монолитной железобетонной конструкции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Формат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ПРИЛОЖЕНИЕ 3 Справочное Пример заполнения формы 4</w:t>
            </w:r>
          </w:p>
        </w:tc>
      </w:tr>
    </w:tbl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ГОСУДАРСТВЕННЫЙ СТАНДАРТ СОЮЗА ССР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4"/>
        <w:gridCol w:w="1991"/>
      </w:tblGrid>
      <w:tr w:rsidR="00177D91" w:rsidRPr="00177D91" w:rsidTr="00177D91">
        <w:trPr>
          <w:tblCellSpacing w:w="0" w:type="dxa"/>
          <w:jc w:val="center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проектной документации для строительства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КОНСТРУКЦИИ БЕТОННЫЕ И ЖЕЛЕЗОБЕТОННЫЕ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Рабочие</w:t>
            </w:r>
            <w:r w:rsidRPr="00177D9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177D91">
              <w:rPr>
                <w:rFonts w:ascii="Arial" w:eastAsia="Times New Roman" w:hAnsi="Arial" w:cs="Arial"/>
                <w:sz w:val="18"/>
                <w:szCs w:val="18"/>
              </w:rPr>
              <w:t>чертежи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7D9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System of building design documents. Concrete and reinforced concrete constructions. </w:t>
            </w:r>
            <w:proofErr w:type="spellStart"/>
            <w:r w:rsidRPr="00177D91">
              <w:rPr>
                <w:rFonts w:ascii="Arial" w:eastAsia="Times New Roman" w:hAnsi="Arial" w:cs="Arial"/>
                <w:sz w:val="18"/>
                <w:szCs w:val="18"/>
              </w:rPr>
              <w:t>Working</w:t>
            </w:r>
            <w:proofErr w:type="spellEnd"/>
            <w:r w:rsidRPr="00177D9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177D91">
              <w:rPr>
                <w:rFonts w:ascii="Arial" w:eastAsia="Times New Roman" w:hAnsi="Arial" w:cs="Arial"/>
                <w:sz w:val="18"/>
                <w:szCs w:val="18"/>
              </w:rPr>
              <w:t>drawings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</w:t>
            </w: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21.503-80</w:t>
            </w:r>
          </w:p>
        </w:tc>
      </w:tr>
    </w:tbl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Постановлением Государственного комитета СССР по делам строительства от 22 октября 1980 г. № 166 срок введения установлен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 01.07 1981 т.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Настоящий стандарт устанавливает состав и правила оформления рабочих чертежей бетонных и железобетонных конструкций зданий и сооружений всех отраслей промышленности и народного хозяйства.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1. ОБЩИЕ ПОЛОЖЕНИЯ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1.1. Рабочие чертежи бетонных и железобетонных конструкций зданий и сооружений выполняют в соответствии с требованиями настоящего стандарта и других стандартов системы проектной документации для строительства.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1.2. В состав рабочих чертежей бетонных и железобетонных конструкций включают: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чертежи, предназначенные для производства строительно-монтажных работ (основной комплект рабочих чертежей марки КЖ);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чертежи бетонных и железобетонных элементов сборных конструкций *;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чертежи арматурных и закладных изделий, примененные в монолитных железобетонных конструкциях;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 потребности в материалах на бетонные и железобетонные конструкции,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* В качестве бетонными железобетонных элементов сборных конструкций здесь и далее рассматриваются колонны, балки, фермы, плиты и другие изделия, предварительно изготовленные (главным образом в заводских условиях) и примененные в этих конструкциях.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2. ОСНОВНОЙ КОМПЛЕКТ РАБОЧИХ ЧЕРТЕЖЕЙ МАРКИ КЖ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2.1. В состав основного комплекта рабочих чертежей марки КЖ включают: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данные по рабочим чертежам;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схемы расположения элементов сборных бетонных и железобетонных конструкций;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чертежи монолитных бетонных и железобетонных конструкций (кроме чертежей арматурных и закладных изделий, примененных в этих конструкциях);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спецификации;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 расхода стали на элемент.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состав общих данных по рабочим чертежам, кроме сведений, предусмотренных ГОСТ 21.102-79, включают сведения о нагрузках и воздействиях, принятых для расчета бетонных и железобетонных конструкций здания или сооружения в целом, а также ведомость объемов сборных бетонных и железобетонных конструкций.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2.3. Схемы расположения элементов сборных бетонных и железобетонных конструкций выполняют по ГОСТ 21.502-78.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Рабочие чертежи монолитных бетонных и железобетонных конструкций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2.4.1. Для зданий и сооружений, выполненных в монолитном железобетоне, при необходимости, выполняют схему расположения конструкций.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Схему выполняют в масштабе 1 : 200 или 1 : 500.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схеме указывают: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координационные оси здания (сооружения), расстояния между ними и крайними осями;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наиболее характерных для данных конструкций уровней;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 конструкций.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выполнения схемы расположения монолитных железобетонных конструкций здания приведен на черт. 1.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2.4.2. Рабочие чертежи монолитной бетонной конструкции, включаемые в основной комплект марки КЖ, состоят из видов, разрезов и сечений, а монолитной железобетонной конструкции, кроме того, - из схемы армирования конструкции или схем армирования ее элементов.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2.4.3. Виды, разрезы и сечения выполняют в масштабе 1:20, 1 : 50 или 1 :100.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видах, разрезах и сечениях (черт. 2) указывают: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координационные оси здания (сооружения), расстояния между ними и крайними осями, а также привязку к ним элементов конструкции;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FB7BEA3" wp14:editId="271969D4">
            <wp:extent cx="3248025" cy="4086225"/>
            <wp:effectExtent l="0" t="0" r="9525" b="9525"/>
            <wp:docPr id="2" name="Рисунок 2" descr="http://www.vashdom.ru/gost/21.503-80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shdom.ru/gost/21.503-80/x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1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 наиболее характерных для данной конструкции уровней;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закладные изделия;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пробки, все (независимо от размера) отверстия, ниши, борозды; или заделываемых в нее.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участки смежных конструкции, служащих для монолитной, бетонной и железобетонной конструкции опорой (например, кирпичную кладку).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2.4.4. Если монолитная железобетонная конструкция состоит из нескольких элементов (например, балок и плит), на каждый из которых выполняют отдельные схемы армирования, то этим элементам присваиваются марки, которые указывают на видах, разрезах или сечениях (см. черт. 2).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2.4.5. Схему армирования монолитной железобетонной конструкции или ее элементов выполняют в соответствии с требованиями </w:t>
      </w:r>
      <w:proofErr w:type="spellStart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. 4.1 – 4.8.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3A6D270" wp14:editId="41E3F4D8">
            <wp:extent cx="4038600" cy="2628900"/>
            <wp:effectExtent l="0" t="0" r="0" b="0"/>
            <wp:docPr id="3" name="Рисунок 3" descr="http://www.vashdom.ru/gost/21.503-80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shdom.ru/gost/21.503-80/x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b/>
          <w:bCs/>
          <w:color w:val="000000"/>
          <w:sz w:val="18"/>
          <w:szCs w:val="18"/>
        </w:rPr>
        <w:t>Черт. 2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2.4.6. Рабочие чертежи арматурных и закладных изделий, примененных в монолитных железобетонных конструкциях* комплектуют в соответствии с требованиями ГОСТ 2.102-68 и ГОСТ 21.101-79.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чертежи на простые детали (например, отдельные стержни), непосредственно входящие в состав монолитной железобетонной конструкции, не выполнять, а все необходимые данные для их изготовления приводить в спецификации соответствующей конструкции и, при необходимости, помещать изображения этих деталей на чертеже монолитной железобетонной конструкции.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большом количестве деталей данные, необходимые для их изготовления, помещают в ведомости по форме 1.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заполнения ведомости приведен в справочном приложении 1.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2.5. Спецификации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2.5.1. Спецификации к схемам расположения элементов сборных конструкций составляют по ГОСТ 21.104-79.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2.5.2. Спецификацию монолитной железобетонной конструкции составляют по форме 2.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Если монолитная железобетонная конструкция состоит из нескольких элементов, на каждый из которых выполняют отдельные схемы армирования, то спецификацию составляют по разделам на каждый элемент.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каждого раздела указывают в виде заголовка в графе «Наименование» и подчеркивают. В наименования разделов включают марку элемента, принятую в рабочих чертежах, и через дефис - количество элементов на конструкцию (например, «Балки </w:t>
      </w:r>
      <w:proofErr w:type="spellStart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proofErr w:type="spellEnd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1 - шт. 2»).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раздел в общем случае состоит из подразделов, которые располагают в следующей последовательности: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сборочные единицы;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стандартные изделия;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 «Сборочные единицы» записывают сборочные единицы, непосредственно входящие в элемент специфицируемой конструкции, в следующей последовательности: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каркасы пространственные;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каркасы плоские;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сетки;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 закладные.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В подразделы «Материалы», записывают материалы, непосредственно входящие в специфицируемую конструкцию.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заполнения граф спецификации принимают по ГОСТ 2.108-68 с учетом следующего дополнительного требования: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графе «Кол.» записывают общее количество составных частей (например, арматурных каркасов, сеток), входящих во все одноименные специфицируемые элементы.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Пример заполнения спецификации монолитной железобетонной конструкции приведен в справочном приложении 2.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2.6. Ведомость объемов сборных бетонных и железобетонных конструкций составляют по форме 3.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графах ведомости указывают: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графе «Наименование группы элементов конструкции» - наименования групп одноименных элементов конструкций по Общесоюзному классификатору (например, блоки фундаментов, колонны, балки стропильные и подстропильные, балки подкрановые);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графе «Код» - кодовое обозначение групп элементов конструкции в соответствии с Общесоюзным классификатором (например, блокам фундаментов соответствует код 58 1103, колоннам - 58 2100);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графе «Кол., м</w:t>
      </w: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» - общий объем бетона и железобетона, необходимый для изготовления всех элементов, входящих в соответствующую группу;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графе «Примечание» - дополнительные сведения по записанным в ведомости бетону и железобетону.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ведомости приводят следующую запись: «Материалы на изготовление сборных бетонных и железобетонных конструкций учтены в ведомости потребности в материалах и отдельно не учитываются».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2.7. Ведомость расхода стали на элемент монолитной железобетонной конструкции составляют в соответствии с требованиями разд. 5.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 Ведомость потребности в материалах на бетонные и железобетонные конструкции составляют по ГОСТ 21.109-80.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членении основного комплекта рабочих чертежей марки КЖ на несколько основных комплектов по ГОСТ 21.101-79 ведомость выполняют к каждому основному комплекту.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2.9. В ведомость объемов сборных бетонных и железобетонных конструкций и в ведомость потребности в материалах включают соответствующие данные по сборным бетонным и железобетонным элементам конструкций, замаркированным на рабочих чертежах основного комплекта марки АР.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3. РАБОЧИЕ ЧЕРТЕЖИ БЕТОННЫХ И ЖЕЛЕЗОБЕТОННЫХ ЭЛЕМЕНТОВ СБОРНЫХ КОНСТРУКЦИЙ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3.1. Сборочные чертежи железобетонных элементов сборных конструкций в общем случае состоят из видов, разрезов, сечений и схем армирования.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3.2. Виды, разрезы и сечения бетонных и железобетонных элементов сборных конструкций выполняют в масштабе 1 : 20, 1 : 50 или 1 : 100.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3.3. На видах, разрезах и селениях бетонного элемента сборной конструкции указывают все (независимо от размера) отверстия, ниши и борозды, а также детали (например, пробки, заделываемые в этот элемент).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видах (черт. 3), разрезах и сечениях железобетонного элемента сборной конструкции, кроме того, указывают закладные изделия, риски, метки и надписи (при необходимости), обесценивающие правильную ориентацию элемента при его транспортировании, складировании и монтаже.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9B60DD" wp14:editId="71DFEC47">
            <wp:extent cx="3086100" cy="2419350"/>
            <wp:effectExtent l="0" t="0" r="0" b="0"/>
            <wp:docPr id="4" name="Рисунок 4" descr="http://www.vashdom.ru/gost/21.503-80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shdom.ru/gost/21.503-80/x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3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3.4. Схему армирования железобетонного элемента сборной конструкции выполняют в соответствии с требованиями разд. 4.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3.5. На каждый железобетонный элемент сборной конструкции составляют ведомость расхода стали в соответствии с требованиями разд. 5.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4. СХЕМЫ АРМИРОВАНИЯ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4.1. Схемы армирования выполняют в масштабах 1 : 20, 1 : 50 или 1 : 100.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На схемах армирования (черт. 4) указывают: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контуры монолитной конструкции или элемента сборной конструкции и размеры, определяющие проектное положение арматурных изделий;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арматурные изделия в соответствии с ГОСТ 21.107-78;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закладные изделия, привариваемые к арматурному изделию при его изготовлении (не указывая их марки и установочные размеры);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толщину защитного слоя бетона от внешней поверхности стержня до ближайшей грани элемента;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фиксаторы (при необходимости) для обеспечения проектного ' положения арматуры.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F4BF78" wp14:editId="32624672">
            <wp:extent cx="1485900" cy="2514600"/>
            <wp:effectExtent l="0" t="0" r="0" b="0"/>
            <wp:docPr id="5" name="Рисунок 5" descr="http://www.vashdom.ru/gost/21.503-80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shdom.ru/gost/21.503-80/x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4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Допускается на схемах армирования приводить данные, указанные в </w:t>
      </w:r>
      <w:proofErr w:type="spellStart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. 2.4.3, 2.4.4 и 3.3. В этом случае виды, разрезы и сечения монолитной конструкции и элемента сборной конструкции не выполняют.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При изображении каркасов и сеток на схеме армирования ч применяют следующие упрощения: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каркасы и сетки изображают контуром (черт. 5);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для обеспечения правильной установки в проектное положение несимметричных каркасов и сеток указывают только их характерные особенности, например, диаметр одного из отличающихся по диаметрам стержней (черт. 6);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если железобетонная конструкция имеет несколько участков с равномерно расположенными одинаковыми каркасами или сетками, то их контуры наносят на одном из участков, указывая номера позиций на полке линии выноски. Рядом с номером позиции . в скобках указывают количество каркасов или сеток соответствующей позиции. На остальных повторяющихся участках контуры каркасов или сеток не указывают, а проставляют только позиции, а рядом с ними, (в скобках) количество каркасов или сеток (черт. 7).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4A277AA" wp14:editId="07D5811D">
            <wp:extent cx="3609975" cy="1552575"/>
            <wp:effectExtent l="0" t="0" r="9525" b="9525"/>
            <wp:docPr id="6" name="Рисунок 6" descr="http://www.vashdom.ru/gost/21.503-80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ashdom.ru/gost/21.503-80/x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339"/>
      </w:tblGrid>
      <w:tr w:rsidR="00177D91" w:rsidRPr="00177D91" w:rsidTr="00177D9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Черт. 5</w:t>
            </w:r>
          </w:p>
        </w:tc>
        <w:tc>
          <w:tcPr>
            <w:tcW w:w="25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Черт. 6</w:t>
            </w:r>
          </w:p>
        </w:tc>
      </w:tr>
    </w:tbl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4.5. При изображении отдельных стержней на схеме армирования применяют следующие упрощения: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участках с отдельными стержнями, расположенными на равных расстояниях, указывают только один стержень, а под полкой линии-выноски с обозначением его позиции указывают, шаг стержней (черт. 8);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номер позиции одних и, тех же стержней, расположенных с одним и тем же шагом, необходимо указать на нескольких изображениях, то шаг этих стержней указывают только на одном изображении.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89F70B" wp14:editId="3BD707E2">
            <wp:extent cx="4467225" cy="3162300"/>
            <wp:effectExtent l="0" t="0" r="9525" b="0"/>
            <wp:docPr id="7" name="Рисунок 7" descr="http://www.vashdom.ru/gost/21.503-80/x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shdom.ru/gost/21.503-80/x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7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если шаг стержней не нормируется (например, при расположении нескольких стержней на коротком расстоянии), то на полке линии-выноски после обозначения стержня указывают в скобках количество стержней (черт. 9).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E3B5E7E" wp14:editId="56A4DCD1">
            <wp:extent cx="4133850" cy="2438400"/>
            <wp:effectExtent l="0" t="0" r="0" b="0"/>
            <wp:docPr id="8" name="Рисунок 8" descr="http://www.vashdom.ru/gost/21.503-80/x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ashdom.ru/gost/21.503-80/x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8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FB3EB0" wp14:editId="45A0D342">
            <wp:extent cx="2228850" cy="1600200"/>
            <wp:effectExtent l="0" t="0" r="0" b="0"/>
            <wp:docPr id="9" name="Рисунок 9" descr="http://www.vashdom.ru/gost/21.503-80/x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ashdom.ru/gost/21.503-80/x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9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4.6. Допускается на схеме армирования при изображении каркасов, сеток и отдельных стержней применять другие упрощения, при условии обеспечения четкости чертежа. При необходимости, приводят соответствующие пояснения в технических требованиях на чертежах.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4.7. В сложных, схемах армирования линию-выноску с указанием позиции допускается отводить от обоих концов одного и того же арматурного изделия иди отдельного стержня (черт. 10).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82197E9" wp14:editId="4BCD9AD6">
            <wp:extent cx="3219450" cy="2238375"/>
            <wp:effectExtent l="0" t="0" r="0" b="9525"/>
            <wp:docPr id="10" name="Рисунок 10" descr="http://www.vashdom.ru/gost/21.503-80/x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ashdom.ru/gost/21.503-80/x0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10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4.8. На схеме армирования монолитной железобетонной конструкции арматуру элементов, пересекающих изображаемый элемент, как правило, не указывают.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5. ВЕДОМОСТЬ РАСХОДА СТАЛИ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5.1. Для элементов монолитных железобетонных конструкций и железобетонных элементов сборных конструкций составляют ведомость расхода стали по форме 4.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5.2. В подзаголовках граф ведомости расхода стали вместо многоточия указывают класс стали и соответствующие стандарты на сталь,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Ниже (в незаполненных подзаголовках граф) указывают: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арматурной стали - диаметр;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профильной стали - условное обозначение профиля".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ведомость составлять раздельно на напрягаемую и ненапрягаемую арматуру.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77D91">
        <w:rPr>
          <w:rFonts w:ascii="Arial" w:eastAsia="Times New Roman" w:hAnsi="Arial" w:cs="Arial"/>
          <w:color w:val="000000"/>
          <w:sz w:val="18"/>
          <w:szCs w:val="18"/>
        </w:rPr>
        <w:t>Пример заполнения ведомости приведен в справочном приложении 3.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6. РАБОЧИЕ ЧЕРТЕЖИ АРМАТУРНЫХ, ЗАКЛАДНЫХ И СОЕДИНИТЕЛЬНЫХ ИЗДЕЛИЯ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6.1. На чертежах размеры гнутых стержней, как правило, указывают по наружным, а хомутов - по внутренним граням (черт. 11 </w:t>
      </w:r>
      <w:r w:rsidRPr="00177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177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E3D04B2" wp14:editId="15E9F0EA">
            <wp:extent cx="1733550" cy="1343025"/>
            <wp:effectExtent l="0" t="0" r="0" b="9525"/>
            <wp:docPr id="11" name="Рисунок 11" descr="http://www.vashdom.ru/gost/21.503-80/x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ashdom.ru/gost/21.503-80/x0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11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 изображении каркаса или сетки одинаковые стержни, расположенные на равных расстояниях, наносят только по концам каркаса или сетки, а также в местах изменения шага стержней. При этом под полкой линии-выноски с обозначением позиции стержней указывают их шаг (черт. 12).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05809C9" wp14:editId="4C7C267B">
            <wp:extent cx="4152900" cy="1685925"/>
            <wp:effectExtent l="0" t="0" r="0" b="9525"/>
            <wp:docPr id="12" name="Рисунок 12" descr="http://www.vashdom.ru/gost/21.503-80/x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ashdom.ru/gost/21.503-80/x0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Черт. 12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Ведомость деталей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1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DF165CD" wp14:editId="00DB298A">
            <wp:extent cx="2400300" cy="1619250"/>
            <wp:effectExtent l="0" t="0" r="0" b="0"/>
            <wp:docPr id="13" name="Рисунок 13" descr="http://www.vashdom.ru/gost/21.503-80/x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ashdom.ru/gost/21.503-80/x0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2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Спецификация ____________________________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конструкции)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3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 объемов сборных бетонных и железобетонных конструкций</w:t>
      </w: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 рабочим чертежам основного комплекта марки _____________________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(Марка основного комплекта)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8E795B" wp14:editId="1ED2616A">
            <wp:extent cx="4800600" cy="2276475"/>
            <wp:effectExtent l="0" t="0" r="0" b="9525"/>
            <wp:docPr id="14" name="Рисунок 14" descr="http://www.vashdom.ru/gost/21.503-80/x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ashdom.ru/gost/21.503-80/x0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4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 расхода стали на элемент, кг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37DC04C" wp14:editId="0A46CF85">
            <wp:extent cx="5048250" cy="1657350"/>
            <wp:effectExtent l="0" t="0" r="0" b="0"/>
            <wp:docPr id="15" name="Рисунок 15" descr="http://www.vashdom.ru/gost/21.503-80/x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vashdom.ru/gost/21.503-80/x03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формы 4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9EFA8C" wp14:editId="64FEC963">
            <wp:extent cx="4914900" cy="1666875"/>
            <wp:effectExtent l="0" t="0" r="0" b="9525"/>
            <wp:docPr id="16" name="Рисунок 16" descr="http://www.vashdom.ru/gost/21.503-80/x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vashdom.ru/gost/21.503-80/x0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ПРИЛОЖЕНИЕ 1</w:t>
      </w: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br/>
        <w:t>Справочное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Пример заполнения формы 1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Ведомость деталей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31"/>
      </w:tblGrid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Поз.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1E938D" wp14:editId="4B0F6AE7">
                  <wp:extent cx="1571625" cy="457200"/>
                  <wp:effectExtent l="0" t="0" r="9525" b="0"/>
                  <wp:docPr id="17" name="Рисунок 17" descr="http://www.vashdom.ru/gost/21.503-80/x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vashdom.ru/gost/21.503-80/x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7B1373" wp14:editId="3CA61485">
                  <wp:extent cx="1571625" cy="495300"/>
                  <wp:effectExtent l="0" t="0" r="9525" b="0"/>
                  <wp:docPr id="18" name="Рисунок 18" descr="http://www.vashdom.ru/gost/21.503-80/x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vashdom.ru/gost/21.503-80/x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A0C90A" wp14:editId="794D74A6">
                  <wp:extent cx="1562100" cy="581025"/>
                  <wp:effectExtent l="0" t="0" r="0" b="9525"/>
                  <wp:docPr id="19" name="Рисунок 19" descr="http://www.vashdom.ru/gost/21.503-80/x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vashdom.ru/gost/21.503-80/x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ACDDCD" wp14:editId="2AC5CAFB">
                  <wp:extent cx="1562100" cy="542925"/>
                  <wp:effectExtent l="0" t="0" r="0" b="9525"/>
                  <wp:docPr id="20" name="Рисунок 20" descr="http://www.vashdom.ru/gost/21.503-80/x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vashdom.ru/gost/21.503-80/x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223009" wp14:editId="7E9990D3">
                  <wp:extent cx="990600" cy="571500"/>
                  <wp:effectExtent l="0" t="0" r="0" b="0"/>
                  <wp:docPr id="21" name="Рисунок 21" descr="http://www.vashdom.ru/gost/21.503-80/x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vashdom.ru/gost/21.503-80/x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224A4D" wp14:editId="6389613C">
                  <wp:extent cx="1028700" cy="514350"/>
                  <wp:effectExtent l="0" t="0" r="0" b="0"/>
                  <wp:docPr id="22" name="Рисунок 22" descr="http://www.vashdom.ru/gost/21.503-80/x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vashdom.ru/gost/21.503-80/x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lastRenderedPageBreak/>
        <w:t>ПРИЛОЖЕНИЕ 2</w:t>
      </w: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br/>
        <w:t>Справочное</w:t>
      </w: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br/>
        <w:t>Пример выполнения спецификации монолитной железобетонной конструкции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Спецификация перекрытия </w:t>
      </w:r>
      <w:proofErr w:type="spellStart"/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РКм</w:t>
      </w:r>
      <w:proofErr w:type="spellEnd"/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(</w:t>
      </w:r>
      <w:proofErr w:type="spellStart"/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ртм</w:t>
      </w:r>
      <w:proofErr w:type="spellEnd"/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3,500)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85"/>
        <w:gridCol w:w="485"/>
        <w:gridCol w:w="2532"/>
        <w:gridCol w:w="3021"/>
        <w:gridCol w:w="489"/>
        <w:gridCol w:w="1367"/>
      </w:tblGrid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</w:pPr>
            <w:r w:rsidRPr="00177D91"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</w:rPr>
              <w:t>Формат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Зона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Поз.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Плита Пм1 - шт. 1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Сборочные единицы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 арматурные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480-1-КЖИ-РКм1-010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закладные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-020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Мн1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Мн2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Детали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Ø10 А-III ГОСТ 5.1459-72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2200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1,4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1200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0,7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1500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0,9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-002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Ø6 A-I ГОСТ 5781-75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1800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0,3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Балки </w:t>
            </w:r>
            <w:proofErr w:type="spellStart"/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Бм</w:t>
            </w:r>
            <w:proofErr w:type="spellEnd"/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1 - шт. 2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Сборочные единицы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пространственный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КП1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-030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плоский КР1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Детали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Ø16 А-III ГОСТ 5.1459-72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-003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9500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15,1кг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13*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4160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6,6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14*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6250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9,9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15*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-004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Ø8 A-I ГОСТ 5781-75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2000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0,8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Балки 6м2 - шт. 4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Сборочные единицы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пространственный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КП2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Детали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17*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-005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Ø 20 А-III ГОСТ 5.1459-72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16,7 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18*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-004-01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Ø 8A-I ГОСТ 5781-75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= 3800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0,8 кг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Материалы на </w:t>
            </w:r>
            <w:proofErr w:type="spellStart"/>
            <w:r w:rsidRPr="00177D91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РКм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91" w:rsidRPr="00177D91" w:rsidTr="00177D91">
        <w:trPr>
          <w:tblCellSpacing w:w="0" w:type="dxa"/>
          <w:jc w:val="center"/>
        </w:trPr>
        <w:tc>
          <w:tcPr>
            <w:tcW w:w="750" w:type="pct"/>
            <w:gridSpan w:val="2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 парки 200</w:t>
            </w:r>
          </w:p>
        </w:tc>
        <w:tc>
          <w:tcPr>
            <w:tcW w:w="25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vAlign w:val="center"/>
            <w:hideMark/>
          </w:tcPr>
          <w:p w:rsidR="00177D91" w:rsidRPr="00177D91" w:rsidRDefault="00177D91" w:rsidP="00177D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</w:rPr>
              <w:t>17,3 м</w:t>
            </w:r>
            <w:r w:rsidRPr="00177D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* Позиции 6, 12... 16, 17, 18 - см. ведомость деталей на листе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ПРИЛОЖЕНИЕ 3</w:t>
      </w: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br/>
        <w:t>Справочное</w:t>
      </w:r>
    </w:p>
    <w:p w:rsidR="00177D91" w:rsidRPr="00177D91" w:rsidRDefault="00177D91" w:rsidP="00177D91">
      <w:pPr>
        <w:shd w:val="clear" w:color="auto" w:fill="FFFFFF"/>
        <w:spacing w:after="30" w:line="240" w:lineRule="auto"/>
        <w:outlineLvl w:val="4"/>
        <w:rPr>
          <w:rFonts w:ascii="Arial" w:eastAsia="Times New Roman" w:hAnsi="Arial" w:cs="Arial"/>
          <w:b/>
          <w:bCs/>
          <w:color w:val="BC0000"/>
          <w:sz w:val="20"/>
          <w:szCs w:val="20"/>
        </w:rPr>
      </w:pPr>
      <w:r w:rsidRPr="00177D91">
        <w:rPr>
          <w:rFonts w:ascii="Arial" w:eastAsia="Times New Roman" w:hAnsi="Arial" w:cs="Arial"/>
          <w:b/>
          <w:bCs/>
          <w:color w:val="BC0000"/>
          <w:sz w:val="20"/>
          <w:szCs w:val="20"/>
        </w:rPr>
        <w:t>Пример заполнения формы 4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Ведомость расхода стали на элемент, кг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B5886D" wp14:editId="523FAA05">
            <wp:extent cx="4933950" cy="1266825"/>
            <wp:effectExtent l="0" t="0" r="0" b="9525"/>
            <wp:docPr id="23" name="Рисунок 23" descr="http://www.vashdom.ru/gost/21.503-80/x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vashdom.ru/gost/21.503-80/x04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ведомости</w:t>
      </w:r>
    </w:p>
    <w:p w:rsidR="00177D91" w:rsidRPr="00177D91" w:rsidRDefault="00177D91" w:rsidP="00177D91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D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2F86326" wp14:editId="6E008484">
            <wp:extent cx="4733925" cy="1428750"/>
            <wp:effectExtent l="0" t="0" r="9525" b="0"/>
            <wp:docPr id="24" name="Рисунок 24" descr="http://www.vashdom.ru/gost/21.503-80/x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vashdom.ru/gost/21.503-80/x04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2F" w:rsidRDefault="00177D91" w:rsidP="00177D91">
      <w:r w:rsidRPr="00177D91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sectPr w:rsidR="00F1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91"/>
    <w:rsid w:val="00177D91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2014-05-16T06:12:00Z</dcterms:created>
  <dcterms:modified xsi:type="dcterms:W3CDTF">2014-05-16T06:12:00Z</dcterms:modified>
</cp:coreProperties>
</file>