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7D5C">
      <w:pPr>
        <w:jc w:val="right"/>
      </w:pPr>
      <w:r>
        <w:t>РД 08-95-95</w:t>
      </w:r>
    </w:p>
    <w:p w:rsidR="00000000" w:rsidRDefault="001F7D5C">
      <w:pPr>
        <w:jc w:val="right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РУКОВОДЯЩИЕ ДОКУМЕНТЫ  ГОСГОРТЕХНАДЗОРА РОССИИ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ПОЛОЖЕНИЕ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СИСТЕМЕ ТЕХНИЧЕСКОГО ДИАГНОСТИРОВАНИЯ СВАРНЫХ ВЕРТИКАЛЬНЫХ ЦИЛИНДРИЧЕСКИХ РЕЗЕРВУАРОВ ДЛЯ НЕФТИ И НЕФТЕПРОДУКТОВ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jc w:val="right"/>
        <w:rPr>
          <w:i/>
        </w:rPr>
      </w:pPr>
      <w:r>
        <w:rPr>
          <w:i/>
        </w:rPr>
        <w:t xml:space="preserve">Дата введения 1995-09-01 </w:t>
      </w:r>
    </w:p>
    <w:p w:rsidR="00000000" w:rsidRDefault="001F7D5C">
      <w:pPr>
        <w:jc w:val="right"/>
      </w:pPr>
    </w:p>
    <w:p w:rsidR="00000000" w:rsidRDefault="001F7D5C">
      <w:pPr>
        <w:ind w:firstLine="225"/>
        <w:jc w:val="both"/>
      </w:pPr>
      <w:r>
        <w:t>РАЗРАБОТАНО АО "ВНИИмонтажспецстрой" и А</w:t>
      </w:r>
      <w:r>
        <w:t>ОЗТ "КОНТАКТ" по заданию Госгортехнадзора России</w:t>
      </w: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  <w:r>
        <w:t>РАЗРАБОТАНО И ВНЕСЕНО Управлением по надзору в нефтяной и газовой промышленности и Управлением по котлонадзору и надзору за подъемными сооружениями</w:t>
      </w: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  <w:r>
        <w:t>Коллектив авторов:</w:t>
      </w: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  <w:r>
        <w:t>Поповский Б.В., Майлер А.З., Ритчик Г</w:t>
      </w:r>
      <w:r>
        <w:t>.А., Катанов А.А., Антикайн П.А., Суслов А.Н., Хапонен Н.А., Головков В.Г.</w:t>
      </w: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  <w:r>
        <w:t xml:space="preserve">УТВЕРЖДЕНО Госгортехнадзором России постановлением № 38 от 25 июля 1995 года </w:t>
      </w: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1.1. “Положение о системе технического диагностирования сварных вертикальных цил</w:t>
      </w:r>
      <w:r>
        <w:t>индрических резервуаров для нефти и нефтепродуктов” разработано на основании Протокола заседания коллегии Госгортехнадзора России от 01.11.94 г. № 25 и Постановления Госгортехнадзора России от 04.05.95 г. № 23, а также в соответствии со СНиП III-18-75 (в ч</w:t>
      </w:r>
      <w:r>
        <w:t>асти изготовления конструкций), СНиП 03.03.01-87 и “Правилами технической эксплуатации резервуаров и инструкциями по их ремонту“, М. “Недра”, 1988 г.</w:t>
      </w:r>
    </w:p>
    <w:p w:rsidR="00000000" w:rsidRDefault="001F7D5C">
      <w:pPr>
        <w:ind w:firstLine="225"/>
        <w:jc w:val="both"/>
      </w:pPr>
      <w:r>
        <w:t>1.2. Положение распространяется на стальные сварные цилиндрические резервуары вместимостью от 100 до 50000</w:t>
      </w:r>
      <w:r>
        <w:t xml:space="preserve"> м</w:t>
      </w:r>
      <w:r>
        <w:rPr>
          <w:vertAlign w:val="superscript"/>
        </w:rPr>
        <w:t>3</w:t>
      </w:r>
      <w:r>
        <w:t>, предназначенные для хранения нефти и нефтепродуктов.</w:t>
      </w:r>
    </w:p>
    <w:p w:rsidR="00000000" w:rsidRDefault="001F7D5C">
      <w:pPr>
        <w:ind w:firstLine="225"/>
        <w:jc w:val="both"/>
      </w:pPr>
      <w:r>
        <w:t>Типы резервуаров:</w:t>
      </w:r>
    </w:p>
    <w:p w:rsidR="00000000" w:rsidRDefault="001F7D5C">
      <w:pPr>
        <w:ind w:firstLine="225"/>
        <w:jc w:val="both"/>
      </w:pPr>
      <w:r>
        <w:t>- со стационарной крышей;</w:t>
      </w:r>
    </w:p>
    <w:p w:rsidR="00000000" w:rsidRDefault="001F7D5C">
      <w:pPr>
        <w:ind w:firstLine="225"/>
        <w:jc w:val="both"/>
      </w:pPr>
      <w:r>
        <w:t>- со стационарной крышей и понтоном;</w:t>
      </w:r>
    </w:p>
    <w:p w:rsidR="00000000" w:rsidRDefault="001F7D5C">
      <w:pPr>
        <w:ind w:firstLine="225"/>
        <w:jc w:val="both"/>
      </w:pPr>
      <w:r>
        <w:t>- с плавающей крышей.</w:t>
      </w:r>
    </w:p>
    <w:p w:rsidR="00000000" w:rsidRDefault="001F7D5C">
      <w:pPr>
        <w:ind w:firstLine="225"/>
        <w:jc w:val="both"/>
      </w:pPr>
      <w:r>
        <w:t>1.3. Положение предусматривает порядок оценки технического состояния резервуаров по совокупност</w:t>
      </w:r>
      <w:r>
        <w:t>и диагностируемых параметров с целью выработки рекомендаций об условиях их дальнейшей безопасной эксплуатации с вероятным остаточным ресурсом, сроках и уровнях последующих обследований, либо о необходимости проведения ремонта или исключения их из эксплуата</w:t>
      </w:r>
      <w:r>
        <w:t>ции.</w:t>
      </w:r>
    </w:p>
    <w:p w:rsidR="00000000" w:rsidRDefault="001F7D5C">
      <w:pPr>
        <w:ind w:firstLine="225"/>
        <w:jc w:val="both"/>
      </w:pPr>
      <w:r>
        <w:t>1.4. Система технического диагностирования включает в себя два уровня проведения работ:</w:t>
      </w:r>
    </w:p>
    <w:p w:rsidR="00000000" w:rsidRDefault="001F7D5C">
      <w:pPr>
        <w:ind w:firstLine="225"/>
        <w:jc w:val="both"/>
      </w:pPr>
      <w:r>
        <w:t>- частичное техническое обследование резервуара с наружной стороны (без выведения его из эксплуатации);</w:t>
      </w:r>
    </w:p>
    <w:p w:rsidR="00000000" w:rsidRDefault="001F7D5C">
      <w:pPr>
        <w:ind w:firstLine="225"/>
        <w:jc w:val="both"/>
      </w:pPr>
      <w:r>
        <w:t>- полное техническое обследование, требующее выведения резе</w:t>
      </w:r>
      <w:r>
        <w:t>рвуара из эксплуатации, его опорожнения, зачистки и дегазации.</w:t>
      </w:r>
    </w:p>
    <w:p w:rsidR="00000000" w:rsidRDefault="001F7D5C">
      <w:pPr>
        <w:ind w:firstLine="225"/>
        <w:jc w:val="both"/>
      </w:pPr>
      <w:r>
        <w:t>Допускается проведение полного обследования на одном резервуаре-представителе выборочно из группы одинаковых резервуаров, работающих в пределах расчетного срока службы, но не более 20 лет, в од</w:t>
      </w:r>
      <w:r>
        <w:t>инаковых условиях (одинаковые конструкции, примененные материалы, технология сооружения, продолжительность и условия эксплуатации); на остальных резервуарах этой группы проводится обследование.</w:t>
      </w:r>
    </w:p>
    <w:p w:rsidR="00000000" w:rsidRDefault="001F7D5C">
      <w:pPr>
        <w:ind w:firstLine="225"/>
        <w:jc w:val="both"/>
      </w:pPr>
      <w:r>
        <w:t>Возможно частичное обследование опорожненных резервуаров с вну</w:t>
      </w:r>
      <w:r>
        <w:t>тренней стороны, если они снаружи покрыты изоляцией.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ТРЕБОВАНИЯ К ОРГАНИЗАЦИИ РАБОТ, ИСПОЛНИТЕЛЯМ, СРЕДСТВАМ И ОБЪЕКТУ ТЕХНИЧЕСКОГО ДИАГНОСТИРОВАНИЯ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2.1. Организация проведения работ по техническому диагностированию возлагается на владельца резервуар</w:t>
      </w:r>
      <w:r>
        <w:t>ов.</w:t>
      </w:r>
    </w:p>
    <w:p w:rsidR="00000000" w:rsidRDefault="001F7D5C">
      <w:pPr>
        <w:ind w:firstLine="225"/>
        <w:jc w:val="both"/>
      </w:pPr>
      <w:r>
        <w:t>Владелец резервуаров обязан представить всю необходимую техническую и технологическую документацию организации, выполняющей обследование.</w:t>
      </w:r>
    </w:p>
    <w:p w:rsidR="00000000" w:rsidRDefault="001F7D5C">
      <w:pPr>
        <w:ind w:firstLine="225"/>
        <w:jc w:val="both"/>
      </w:pPr>
      <w:r>
        <w:t>2.2. Работы по техническому диагностированию выполняются организациями, для которых такой вид деятельности предусм</w:t>
      </w:r>
      <w:r>
        <w:t>отрен уставом, которые располагают необходимыми средствами технического диагностирования, нормативно-технической документацией на контроль и оценку конструкций, а также имеют обученных и аттестованных в установленном порядке специалистов.</w:t>
      </w:r>
    </w:p>
    <w:p w:rsidR="00000000" w:rsidRDefault="001F7D5C">
      <w:pPr>
        <w:ind w:firstLine="225"/>
        <w:jc w:val="both"/>
      </w:pPr>
      <w:r>
        <w:t>2.3. Диагностиров</w:t>
      </w:r>
      <w:r>
        <w:t>ание и заключение о техническом состоянии и о возможности дальнейшей эксплуатации резервуаров, сооруженных не по типовым проектам или по импортным поставкам, а также резервуаров со сроками эксплуатации, превышающими 30 лет, и в других сложных случаях произ</w:t>
      </w:r>
      <w:r>
        <w:t>водятся специализированной организацией (Приложение 1).</w:t>
      </w:r>
    </w:p>
    <w:p w:rsidR="00000000" w:rsidRDefault="001F7D5C">
      <w:pPr>
        <w:ind w:firstLine="225"/>
        <w:jc w:val="both"/>
      </w:pPr>
      <w:r>
        <w:t>2.4. Организации, выполняющие работы по техническому диагностированию резервуаров должны иметь разрешение (лицензию) на проведение таких работ, получаемое в органах Госгортехнадзора России в установле</w:t>
      </w:r>
      <w:r>
        <w:t>нном порядке (Приложение 2).</w:t>
      </w:r>
    </w:p>
    <w:p w:rsidR="00000000" w:rsidRDefault="001F7D5C">
      <w:pPr>
        <w:ind w:firstLine="225"/>
        <w:jc w:val="both"/>
      </w:pPr>
      <w:r>
        <w:t>2.5. Специалисты по техническому диагностированию резервуаров должны быть аттестованы по этому виду работ организацией, имеющей лицензию Госгортехнадзора России.</w:t>
      </w:r>
    </w:p>
    <w:p w:rsidR="00000000" w:rsidRDefault="001F7D5C">
      <w:pPr>
        <w:ind w:firstLine="225"/>
        <w:jc w:val="both"/>
      </w:pPr>
      <w:r>
        <w:t>2.6. Специалисты по неразрушающему контролю могут выполнять при т</w:t>
      </w:r>
      <w:r>
        <w:t>ехническом диагностировании резервуаров только те виды работ, на которые они аттестованы в соответствии с “Правилами аттестации специалистов неразрушающего контроля”, утвержденными Госгортехнадзором России 18.08.92 г.</w:t>
      </w:r>
    </w:p>
    <w:p w:rsidR="00000000" w:rsidRDefault="001F7D5C">
      <w:pPr>
        <w:ind w:firstLine="225"/>
        <w:jc w:val="both"/>
      </w:pPr>
      <w:r>
        <w:t>2.7. Аппаратура и средства, применяемы</w:t>
      </w:r>
      <w:r>
        <w:t>е при техническом диагностировании резервуаров, должны позволять надежно выявлять недопустимые дефекты. Не допускается применение аппаратуры, подлежащей госпроверке и не прошедшей ее.</w:t>
      </w:r>
    </w:p>
    <w:p w:rsidR="00000000" w:rsidRDefault="001F7D5C">
      <w:pPr>
        <w:ind w:firstLine="225"/>
        <w:jc w:val="both"/>
      </w:pPr>
      <w:r>
        <w:t>2.7.1. При измерении геометрических параметров конструкций должны исполь</w:t>
      </w:r>
      <w:r>
        <w:t>зоваться стандартные или специальные методы и средства измерения, позволяющие получить точность не менее ± 0,1 мм.</w:t>
      </w:r>
    </w:p>
    <w:p w:rsidR="00000000" w:rsidRDefault="001F7D5C">
      <w:pPr>
        <w:ind w:firstLine="225"/>
        <w:jc w:val="both"/>
      </w:pPr>
      <w:r>
        <w:t>2.7.2. Определение механических свойств металла и сварных соединений должно проводиться в полном соответствии с требованиями стандартов на эт</w:t>
      </w:r>
      <w:r>
        <w:t>и виды испытаний оборудование и приборы должны пройти своевременно государственную проверку.</w:t>
      </w:r>
    </w:p>
    <w:p w:rsidR="00000000" w:rsidRDefault="001F7D5C">
      <w:pPr>
        <w:ind w:firstLine="225"/>
        <w:jc w:val="both"/>
      </w:pPr>
      <w:r>
        <w:t>2.8. При полном техническом обследовании резервуара необходимо вывести его из эксплуатации, опорожнить, дегазировать и очистить.</w:t>
      </w:r>
    </w:p>
    <w:p w:rsidR="00000000" w:rsidRDefault="001F7D5C">
      <w:pPr>
        <w:ind w:firstLine="225"/>
        <w:jc w:val="both"/>
      </w:pPr>
      <w:r>
        <w:t>Работы по обследованию производятс</w:t>
      </w:r>
      <w:r>
        <w:t>я с разрешения руководства предприятия - владельца резервуара после прохождения инструктажа по технике безопасности и по противопожарной безопасности.</w:t>
      </w:r>
    </w:p>
    <w:p w:rsidR="00000000" w:rsidRDefault="001F7D5C">
      <w:pPr>
        <w:ind w:firstLine="225"/>
        <w:jc w:val="both"/>
      </w:pPr>
      <w:r>
        <w:t>2.9. Ко всем конструктивным элементам резервуара, подлежащим обследованию, должен быть обеспечен свободны</w:t>
      </w:r>
      <w:r>
        <w:t>й доступ.</w:t>
      </w:r>
    </w:p>
    <w:p w:rsidR="00000000" w:rsidRDefault="001F7D5C">
      <w:pPr>
        <w:ind w:firstLine="225"/>
        <w:jc w:val="both"/>
      </w:pPr>
      <w:r>
        <w:t>Наружные и внутренние поверхности элементов резервуара, подлежащие техническому диагностированию, должны быть очищены от загрязнений. Качество подготовки поверхностей определяется требованиями применяемого метода контроля.</w:t>
      </w:r>
    </w:p>
    <w:p w:rsidR="00000000" w:rsidRDefault="001F7D5C">
      <w:pPr>
        <w:ind w:firstLine="225"/>
        <w:jc w:val="both"/>
      </w:pPr>
      <w:r>
        <w:t>Уторный узел резервуара</w:t>
      </w:r>
      <w:r>
        <w:t xml:space="preserve"> (угловое сварное соединение днища со стенкой) должен быть очищен с наружной стороны от грунта, снега и других загрязнений.</w:t>
      </w:r>
    </w:p>
    <w:p w:rsidR="00000000" w:rsidRDefault="001F7D5C">
      <w:pPr>
        <w:ind w:firstLine="225"/>
        <w:jc w:val="both"/>
      </w:pPr>
      <w:r>
        <w:t>Тепловая изоляция, препятствующая контролю технического состояния, должна быть частично или полностью (в случае необходимости) удале</w:t>
      </w:r>
      <w:r>
        <w:t>на.</w:t>
      </w:r>
    </w:p>
    <w:p w:rsidR="00000000" w:rsidRDefault="001F7D5C">
      <w:pPr>
        <w:ind w:firstLine="225"/>
        <w:jc w:val="both"/>
      </w:pPr>
      <w:r>
        <w:t>2.10. На выполненные при техническом обследовании резеруаров работы организации, их проводившие, составляют первичную документацию (акты, протоколы, журналы, заключения и т.п.), на основании которой оформляют заключение о возможности или условиях дальн</w:t>
      </w:r>
      <w:r>
        <w:t>ейшей эксплуатации резервуара, необходимости их ремонта или исключения из эксплуатации.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АЛГОРИТМ ОЦЕНКИ ТЕХНИЧЕСКОГО СОСТОЯНИЯ РЕЗЕРВУАРОВ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3.1. Техническое диагностирование резервуара производится по типовой программе (Приложение 3).</w:t>
      </w:r>
    </w:p>
    <w:p w:rsidR="00000000" w:rsidRDefault="001F7D5C">
      <w:pPr>
        <w:ind w:firstLine="225"/>
        <w:jc w:val="both"/>
      </w:pPr>
      <w:r>
        <w:t>3.1.1. На основе</w:t>
      </w:r>
      <w:r>
        <w:t xml:space="preserve"> типовой программы на каждый резервуар (или группу резервуаров с одинаковыми сроками эксплуатации, работающих в одинаковых условиях), разрабатывается индивидуальная программа. При этом необходимо учитывать конкретные условия эксплуатации, </w:t>
      </w:r>
      <w:r>
        <w:lastRenderedPageBreak/>
        <w:t>имевшиеся ранее п</w:t>
      </w:r>
      <w:r>
        <w:t>овреждения конструкций и выполненные работы по ремонту или реконструкции.</w:t>
      </w:r>
    </w:p>
    <w:p w:rsidR="00000000" w:rsidRDefault="001F7D5C">
      <w:pPr>
        <w:ind w:firstLine="225"/>
        <w:jc w:val="both"/>
      </w:pPr>
      <w:r>
        <w:t>Индивидуальные программы обследования резервуаров разрабатываются организацией, выполняющей обследование.</w:t>
      </w:r>
    </w:p>
    <w:p w:rsidR="00000000" w:rsidRDefault="001F7D5C">
      <w:pPr>
        <w:ind w:firstLine="225"/>
        <w:jc w:val="both"/>
      </w:pPr>
      <w:r>
        <w:t>3.2. Техническое обследование резервуаров, перечисленных в п. 2.3, производи</w:t>
      </w:r>
      <w:r>
        <w:t>тся по специальной программе специализированной организацией (Приложение 1).</w:t>
      </w:r>
    </w:p>
    <w:p w:rsidR="00000000" w:rsidRDefault="001F7D5C">
      <w:pPr>
        <w:ind w:firstLine="225"/>
        <w:jc w:val="both"/>
      </w:pPr>
      <w:r>
        <w:t>3.3. Алгоритм оценки технического состояния резервуаров предусматривает содержание и последовательность этапов проведения работ в целях:</w:t>
      </w:r>
    </w:p>
    <w:p w:rsidR="00000000" w:rsidRDefault="001F7D5C">
      <w:pPr>
        <w:ind w:firstLine="225"/>
        <w:jc w:val="both"/>
      </w:pPr>
      <w:r>
        <w:t>- установления возможности безопасной эксп</w:t>
      </w:r>
      <w:r>
        <w:t>луатации;</w:t>
      </w:r>
    </w:p>
    <w:p w:rsidR="00000000" w:rsidRDefault="001F7D5C">
      <w:pPr>
        <w:ind w:firstLine="225"/>
        <w:jc w:val="both"/>
      </w:pPr>
      <w:r>
        <w:t>- определения остаточного ресурса безопасной эксплуатации в случае обнаружения дефектов или после исчерпания расчетного срока службы;</w:t>
      </w:r>
    </w:p>
    <w:p w:rsidR="00000000" w:rsidRDefault="001F7D5C">
      <w:pPr>
        <w:ind w:firstLine="225"/>
        <w:jc w:val="both"/>
      </w:pPr>
      <w:r>
        <w:t xml:space="preserve">- разработки прогноза о возможности и условиях эксплуатации сверх расчетного срока службы, а также после аварии </w:t>
      </w:r>
      <w:r>
        <w:t>или повреждения отдельных конструктивных элементов.</w:t>
      </w:r>
    </w:p>
    <w:p w:rsidR="00000000" w:rsidRDefault="001F7D5C">
      <w:pPr>
        <w:ind w:firstLine="225"/>
        <w:jc w:val="both"/>
      </w:pPr>
      <w:r>
        <w:t>Нормативный расчетный срок службы устанавливается автором проекта или заводом-изготовителем и указывается в нормативно-технической документации, паспорте или инструкции по эксплуатации.</w:t>
      </w:r>
    </w:p>
    <w:p w:rsidR="00000000" w:rsidRDefault="001F7D5C">
      <w:pPr>
        <w:ind w:firstLine="225"/>
        <w:jc w:val="both"/>
      </w:pPr>
      <w:r>
        <w:t>При отсутствии ука</w:t>
      </w:r>
      <w:r>
        <w:t>заний о величине нормативного расчетного срока он принимается равным 20 годам.</w:t>
      </w:r>
    </w:p>
    <w:p w:rsidR="00000000" w:rsidRDefault="001F7D5C">
      <w:pPr>
        <w:ind w:firstLine="225"/>
        <w:jc w:val="both"/>
      </w:pPr>
      <w:r>
        <w:t>3.4. Алгоритм диагностирования резервуара определяется в зависимости от его технического состояния, длительности эксплуатации, вида хранимого продукта.</w:t>
      </w:r>
    </w:p>
    <w:p w:rsidR="00000000" w:rsidRDefault="001F7D5C">
      <w:pPr>
        <w:ind w:firstLine="225"/>
        <w:jc w:val="both"/>
      </w:pPr>
      <w:r>
        <w:t>Первоочередному обследова</w:t>
      </w:r>
      <w:r>
        <w:t>нию, как правило, должны подвергаться резервуары:</w:t>
      </w:r>
    </w:p>
    <w:p w:rsidR="00000000" w:rsidRDefault="001F7D5C">
      <w:pPr>
        <w:ind w:firstLine="225"/>
        <w:jc w:val="both"/>
      </w:pPr>
      <w:r>
        <w:t>- находящиеся в аварийном состоянии или в состоянии ремонта после аварии;</w:t>
      </w:r>
    </w:p>
    <w:p w:rsidR="00000000" w:rsidRDefault="001F7D5C">
      <w:pPr>
        <w:ind w:firstLine="225"/>
        <w:jc w:val="both"/>
      </w:pPr>
      <w:r>
        <w:t>- изготовленные из кипящих сталей и сваренные электродами с меловой обмазкой;</w:t>
      </w:r>
    </w:p>
    <w:p w:rsidR="00000000" w:rsidRDefault="001F7D5C">
      <w:pPr>
        <w:ind w:firstLine="225"/>
        <w:jc w:val="both"/>
      </w:pPr>
      <w:r>
        <w:t xml:space="preserve">- находящиеся в эксплуатации более 20 лет; </w:t>
      </w:r>
    </w:p>
    <w:p w:rsidR="00000000" w:rsidRDefault="001F7D5C">
      <w:pPr>
        <w:ind w:firstLine="225"/>
        <w:jc w:val="both"/>
      </w:pPr>
      <w:r>
        <w:t>- в которы</w:t>
      </w:r>
      <w:r>
        <w:t>х хранятся высококоррозионные по отношению к металлу несущих конструкций продукты.</w:t>
      </w:r>
    </w:p>
    <w:p w:rsidR="00000000" w:rsidRDefault="001F7D5C">
      <w:pPr>
        <w:ind w:firstLine="225"/>
        <w:jc w:val="both"/>
      </w:pPr>
      <w:r>
        <w:t>Рекомендуется структура алгоритма оценки технического состояния резервуара в пределах расчетного срока службы приведены в п.п. 3.5. и 3.6.</w:t>
      </w:r>
    </w:p>
    <w:p w:rsidR="00000000" w:rsidRDefault="001F7D5C">
      <w:pPr>
        <w:ind w:firstLine="225"/>
        <w:jc w:val="both"/>
      </w:pPr>
      <w:r>
        <w:t>3.5. Частичное наружное обследован</w:t>
      </w:r>
      <w:r>
        <w:t>ие проводится не реже одного раза в 5 лет и включает в себя следующие этапы:</w:t>
      </w:r>
    </w:p>
    <w:p w:rsidR="00000000" w:rsidRDefault="001F7D5C">
      <w:pPr>
        <w:ind w:firstLine="225"/>
        <w:jc w:val="both"/>
      </w:pPr>
      <w:r>
        <w:t>3.5.1. Ознакомление с эксплуатационно-технической документацией на резервуар (паспорт и др.); сбор информации о работе резервуара у обслуживающего персонала; особое внимание должн</w:t>
      </w:r>
      <w:r>
        <w:t>о быть обращено на объемы и методы выполнения ремонтов и исправления дефектов, выявленных в период эксплуатации.</w:t>
      </w:r>
    </w:p>
    <w:p w:rsidR="00000000" w:rsidRDefault="001F7D5C">
      <w:pPr>
        <w:ind w:firstLine="225"/>
        <w:jc w:val="both"/>
      </w:pPr>
      <w:r>
        <w:t>3.5.2. Анализ конструктивных особенностей резервуара и имеющейся информации по технологии изготовления, монтажа, ремонта или реконструкции; ана</w:t>
      </w:r>
      <w:r>
        <w:t>лиз условий эксплуатации; определение наиболее нагруженных, работающих в наиболее тяжелых и сложных условиях элементов резервуара.</w:t>
      </w:r>
    </w:p>
    <w:p w:rsidR="00000000" w:rsidRDefault="001F7D5C">
      <w:pPr>
        <w:ind w:firstLine="225"/>
        <w:jc w:val="both"/>
      </w:pPr>
      <w:r>
        <w:t>3.5.3. Составление программы обследования (технического диагностирования).</w:t>
      </w:r>
    </w:p>
    <w:p w:rsidR="00000000" w:rsidRDefault="001F7D5C">
      <w:pPr>
        <w:ind w:firstLine="225"/>
        <w:jc w:val="both"/>
      </w:pPr>
      <w:r>
        <w:t>3.5.4. Натурное обследование резервуара:</w:t>
      </w:r>
    </w:p>
    <w:p w:rsidR="00000000" w:rsidRDefault="001F7D5C">
      <w:pPr>
        <w:ind w:firstLine="225"/>
        <w:jc w:val="both"/>
      </w:pPr>
      <w:r>
        <w:t>- визуаль</w:t>
      </w:r>
      <w:r>
        <w:t>ный осмотр всех конструкций с наружной стороны;</w:t>
      </w:r>
    </w:p>
    <w:p w:rsidR="00000000" w:rsidRDefault="001F7D5C">
      <w:pPr>
        <w:ind w:firstLine="225"/>
        <w:jc w:val="both"/>
      </w:pPr>
      <w:r>
        <w:t>- измерение толщины поясов стенки, выступающих окрайков днища и настила кровли;</w:t>
      </w:r>
    </w:p>
    <w:p w:rsidR="00000000" w:rsidRDefault="001F7D5C">
      <w:pPr>
        <w:ind w:firstLine="225"/>
        <w:jc w:val="both"/>
      </w:pPr>
      <w:r>
        <w:t>- измерение геометрической формы стенки и нивелирование наружного контура днища;</w:t>
      </w:r>
    </w:p>
    <w:p w:rsidR="00000000" w:rsidRDefault="001F7D5C">
      <w:pPr>
        <w:ind w:firstLine="225"/>
        <w:jc w:val="both"/>
      </w:pPr>
      <w:r>
        <w:t>- проверка состояния основания и отмостки.</w:t>
      </w:r>
    </w:p>
    <w:p w:rsidR="00000000" w:rsidRDefault="001F7D5C">
      <w:pPr>
        <w:ind w:firstLine="225"/>
        <w:jc w:val="both"/>
      </w:pPr>
      <w:r>
        <w:t>3.5.</w:t>
      </w:r>
      <w:r>
        <w:t>5. Установление возможности эксплуатации резервуара с выдачей соответствующего заключения.</w:t>
      </w:r>
    </w:p>
    <w:p w:rsidR="00000000" w:rsidRDefault="001F7D5C">
      <w:pPr>
        <w:ind w:firstLine="225"/>
        <w:jc w:val="both"/>
      </w:pPr>
      <w:r>
        <w:t>3.6. Полное обследование проводится не реже одного раза в 10 лет и включает в себя следующие этапы:</w:t>
      </w:r>
    </w:p>
    <w:p w:rsidR="00000000" w:rsidRDefault="001F7D5C">
      <w:pPr>
        <w:ind w:firstLine="225"/>
        <w:jc w:val="both"/>
      </w:pPr>
      <w:r>
        <w:t>3.6.1. Ознакомление с эксплуатационно-технической документацией н</w:t>
      </w:r>
      <w:r>
        <w:t>а резервуар.</w:t>
      </w:r>
    </w:p>
    <w:p w:rsidR="00000000" w:rsidRDefault="001F7D5C">
      <w:pPr>
        <w:ind w:firstLine="225"/>
        <w:jc w:val="both"/>
      </w:pPr>
      <w:r>
        <w:t>3.6.2. Анализ конструктивных особенностей резервуара; анализ условий эксплуатации; определение наиболее нагруженных, работающих в наиболее тяжелых  и сложных условиях элементов резервуара.</w:t>
      </w:r>
    </w:p>
    <w:p w:rsidR="00000000" w:rsidRDefault="001F7D5C">
      <w:pPr>
        <w:ind w:firstLine="225"/>
        <w:jc w:val="both"/>
      </w:pPr>
      <w:r>
        <w:t>3.6.3. Составление программы обследования.</w:t>
      </w:r>
    </w:p>
    <w:p w:rsidR="00000000" w:rsidRDefault="001F7D5C">
      <w:pPr>
        <w:ind w:firstLine="225"/>
        <w:jc w:val="both"/>
      </w:pPr>
      <w:r>
        <w:t>3.6.4. Нату</w:t>
      </w:r>
      <w:r>
        <w:t>ральное обследование резервуара:</w:t>
      </w:r>
    </w:p>
    <w:p w:rsidR="00000000" w:rsidRDefault="001F7D5C">
      <w:pPr>
        <w:ind w:firstLine="225"/>
        <w:jc w:val="both"/>
      </w:pPr>
      <w:r>
        <w:t>- визуальный осмотр всех конструкций с внутренней и наружной сторон, в том числе визуальный осмотр понтона (плавающей крыши);</w:t>
      </w:r>
    </w:p>
    <w:p w:rsidR="00000000" w:rsidRDefault="001F7D5C">
      <w:pPr>
        <w:ind w:firstLine="225"/>
        <w:jc w:val="both"/>
      </w:pPr>
      <w:r>
        <w:t>- измерение толщины поясов стенки, кровли, днища, понтона (плавающей крыши);</w:t>
      </w:r>
    </w:p>
    <w:p w:rsidR="00000000" w:rsidRDefault="001F7D5C">
      <w:pPr>
        <w:ind w:firstLine="225"/>
        <w:jc w:val="both"/>
      </w:pPr>
      <w:r>
        <w:t>- измерение геометри</w:t>
      </w:r>
      <w:r>
        <w:t>ческой формы стенки и нивелирование днища;</w:t>
      </w:r>
    </w:p>
    <w:p w:rsidR="00000000" w:rsidRDefault="001F7D5C">
      <w:pPr>
        <w:ind w:firstLine="225"/>
        <w:jc w:val="both"/>
      </w:pPr>
      <w:r>
        <w:t>- измерение расстояний между понтоном (плавающей крышей) и стенкой резервуара;</w:t>
      </w:r>
    </w:p>
    <w:p w:rsidR="00000000" w:rsidRDefault="001F7D5C">
      <w:pPr>
        <w:ind w:firstLine="225"/>
        <w:jc w:val="both"/>
      </w:pPr>
      <w:r>
        <w:lastRenderedPageBreak/>
        <w:t>- проверка состояния понтона (плавающей крышки);</w:t>
      </w:r>
    </w:p>
    <w:p w:rsidR="00000000" w:rsidRDefault="001F7D5C">
      <w:pPr>
        <w:ind w:firstLine="225"/>
        <w:jc w:val="both"/>
      </w:pPr>
      <w:r>
        <w:t>- проверка состояния основания и отмостки.</w:t>
      </w:r>
    </w:p>
    <w:p w:rsidR="00000000" w:rsidRDefault="001F7D5C">
      <w:pPr>
        <w:ind w:firstLine="225"/>
        <w:jc w:val="both"/>
      </w:pPr>
      <w:r>
        <w:t>3.6.5. Контроль ультразвуковым, рентгеногр</w:t>
      </w:r>
      <w:r>
        <w:t>афическим и другими методами дефектоскопии, необходимость и объем проведения которого устанавливается по результатам визуального осмотра.</w:t>
      </w:r>
    </w:p>
    <w:p w:rsidR="00000000" w:rsidRDefault="001F7D5C">
      <w:pPr>
        <w:ind w:firstLine="225"/>
        <w:jc w:val="both"/>
      </w:pPr>
      <w:r>
        <w:t>3.6.6. Установление возможности эксплуатации резервуара с выдачей соответствующего заключения.</w:t>
      </w:r>
    </w:p>
    <w:p w:rsidR="00000000" w:rsidRDefault="001F7D5C">
      <w:pPr>
        <w:ind w:firstLine="225"/>
        <w:jc w:val="both"/>
      </w:pPr>
      <w:r>
        <w:t>3.7. Рекомендуемая стру</w:t>
      </w:r>
      <w:r>
        <w:t>ктура алгоритма оценки технического состояния резервуара, отработавшего расчетный срок службы:</w:t>
      </w:r>
    </w:p>
    <w:p w:rsidR="00000000" w:rsidRDefault="001F7D5C">
      <w:pPr>
        <w:ind w:firstLine="225"/>
        <w:jc w:val="both"/>
      </w:pPr>
      <w:r>
        <w:t>3.7.1. Частичное обследование резервуара проводится не реже одного раза в 4 года и помимо этапов, перечисленных в п.п. 3.5.1 - 3.5.5, включает, в случае необходи</w:t>
      </w:r>
      <w:r>
        <w:t>мости, контроль неразрушающими методами дефектоскопии.</w:t>
      </w:r>
    </w:p>
    <w:p w:rsidR="00000000" w:rsidRDefault="001F7D5C">
      <w:pPr>
        <w:ind w:firstLine="225"/>
        <w:jc w:val="both"/>
      </w:pPr>
      <w:r>
        <w:t>3.7.2. Полное обследование резервуара проводится не реже одного раза в 8 лет и помимо этапов, перечисленных в п.п. 3.6.1.-3.6.6., включает в себя дополнительно следующие этапы:</w:t>
      </w:r>
    </w:p>
    <w:p w:rsidR="00000000" w:rsidRDefault="001F7D5C">
      <w:pPr>
        <w:ind w:firstLine="225"/>
        <w:jc w:val="both"/>
      </w:pPr>
      <w:r>
        <w:t>- определение необходимо</w:t>
      </w:r>
      <w:r>
        <w:t>сти оценки механических свойств материала и его структуры (методами неразрушающего контроля или лабораторного исследования);</w:t>
      </w:r>
    </w:p>
    <w:p w:rsidR="00000000" w:rsidRDefault="001F7D5C">
      <w:pPr>
        <w:ind w:firstLine="225"/>
        <w:jc w:val="both"/>
      </w:pPr>
      <w:r>
        <w:t>- оценка физико-механических свойств и структуры металла;</w:t>
      </w:r>
    </w:p>
    <w:p w:rsidR="00000000" w:rsidRDefault="001F7D5C">
      <w:pPr>
        <w:ind w:firstLine="225"/>
        <w:jc w:val="both"/>
      </w:pPr>
      <w:r>
        <w:t>- выбор расчетных схем и оценка остаточного ресурса работы металла с учет</w:t>
      </w:r>
      <w:r>
        <w:t>ом: скорости коррозии в местах уменьшения толщин элементов; изменения механических свойств металла или сварных соединений; объема и характера циклических нагружений; работы резервуара при отрицательных температурах (ниже 40°С).</w:t>
      </w:r>
    </w:p>
    <w:p w:rsidR="00000000" w:rsidRDefault="001F7D5C">
      <w:pPr>
        <w:ind w:firstLine="225"/>
        <w:jc w:val="both"/>
      </w:pPr>
      <w:r>
        <w:t>Оценка остаточного ресурса с</w:t>
      </w:r>
      <w:r>
        <w:t>огласовывается со специализированной организацией (Приложение 1).</w:t>
      </w:r>
    </w:p>
    <w:p w:rsidR="00000000" w:rsidRDefault="001F7D5C">
      <w:pPr>
        <w:ind w:firstLine="225"/>
        <w:jc w:val="both"/>
      </w:pPr>
      <w:r>
        <w:t xml:space="preserve">3.7.3. Разработка прогноза о возможности и условиях дальнейшей эксплуатации резервуара (в том числе периодичности и методах последующего контроля) с выдачей заключения. </w:t>
      </w:r>
    </w:p>
    <w:p w:rsidR="00000000" w:rsidRDefault="001F7D5C">
      <w:pPr>
        <w:ind w:firstLine="225"/>
        <w:jc w:val="both"/>
      </w:pPr>
      <w:r>
        <w:t>3.8. При выявлении в</w:t>
      </w:r>
      <w:r>
        <w:t xml:space="preserve"> результате обследования различных недопустимых дефектов производится определение объема и методов восстановительного ремонта резервуара с последующим контролем качества выполненных работ и гидравлическим испытанием. В случае экономической или технической </w:t>
      </w:r>
      <w:r>
        <w:t>нецелесообразности ремонта дается заключение об исключении резервуара из эксплуатации.</w:t>
      </w:r>
    </w:p>
    <w:p w:rsidR="00000000" w:rsidRDefault="001F7D5C">
      <w:pPr>
        <w:ind w:firstLine="225"/>
        <w:jc w:val="both"/>
      </w:pPr>
      <w:r>
        <w:t>3.9. В случае отсутствия полного комплекта документации, или обнаружения в процессе эксплуатации существенных дефектов в основном металле и сварных соединениях, недопуст</w:t>
      </w:r>
      <w:r>
        <w:t>имых деформаций конструкций и т.п. частичные и полные обследования проводятся через более короткие периоды, устанавливаемые специализированной организацией (Приложение 1).</w:t>
      </w:r>
    </w:p>
    <w:p w:rsidR="00000000" w:rsidRDefault="001F7D5C">
      <w:pPr>
        <w:ind w:firstLine="225"/>
        <w:jc w:val="both"/>
      </w:pPr>
      <w:r>
        <w:t>3.10. В основу оценки технического состояния резервуаров положены представления о во</w:t>
      </w:r>
      <w:r>
        <w:t>зможных отказах, имеющих следующие причины:</w:t>
      </w:r>
    </w:p>
    <w:p w:rsidR="00000000" w:rsidRDefault="001F7D5C">
      <w:pPr>
        <w:ind w:firstLine="225"/>
        <w:jc w:val="both"/>
      </w:pPr>
      <w:r>
        <w:t>- наличие в металле и сварных соединениях дефектов, возникших при изготовлении, монтаже, ремонте или эксплуатации, развитие которых может привести к разрушению элементов резервуара;</w:t>
      </w:r>
    </w:p>
    <w:p w:rsidR="00000000" w:rsidRDefault="001F7D5C">
      <w:pPr>
        <w:ind w:firstLine="225"/>
        <w:jc w:val="both"/>
      </w:pPr>
      <w:r>
        <w:t>- изменения геометрических раз</w:t>
      </w:r>
      <w:r>
        <w:t>меров и формы элементов (в результате пластической деформации, коррозионного износа и т.п.) по отношению к первоначальным, вызывающее превышение действующих в металле напряжений над расчетными;</w:t>
      </w:r>
    </w:p>
    <w:p w:rsidR="00000000" w:rsidRDefault="001F7D5C">
      <w:pPr>
        <w:ind w:firstLine="225"/>
        <w:jc w:val="both"/>
      </w:pPr>
      <w:r>
        <w:t>- изменения структуры и механических свойств металла в процесс</w:t>
      </w:r>
      <w:r>
        <w:t>е длительной эксплуатации, которые могут привести к снижению конструктивной прочности элементов резервуара (усталость при действии переменных и знакопеременных нагрузок, перегревы, действие чрезмерно высоких нагрузок и т.п.);</w:t>
      </w:r>
    </w:p>
    <w:p w:rsidR="00000000" w:rsidRDefault="001F7D5C">
      <w:pPr>
        <w:ind w:firstLine="225"/>
        <w:jc w:val="both"/>
      </w:pPr>
      <w:r>
        <w:t>- нарушение герметичности лист</w:t>
      </w:r>
      <w:r>
        <w:t>овых конструкций в результате коррозионных повреждений.</w:t>
      </w: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АНАЛИЗ КОНСТРУКТИВНЫХ ОСОБЕННОСТЕЙ, ТЕХНОЛОГИИ ИЗГОТОВЛЕНИЯ И МОНТАЖА, А ТАКЖЕ УСЛОВИЙ ЭКСПЛУАТАЦИИ РЕЗЕРВУАРОВ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4.1. Целью анализа конструктивных особенностей технологии изготовления и монта</w:t>
      </w:r>
      <w:r>
        <w:t xml:space="preserve">жа, а также условий эксплуатации резервуара является определение наиболее напряженных зон в элементах конструкции, возможных механизмов образования дефектов в материале при </w:t>
      </w:r>
      <w:r>
        <w:lastRenderedPageBreak/>
        <w:t>эксплуатации и мест их локализации, а также составление (уточнение) программы техни</w:t>
      </w:r>
      <w:r>
        <w:t>ческого диагностирования.</w:t>
      </w:r>
    </w:p>
    <w:p w:rsidR="00000000" w:rsidRDefault="001F7D5C">
      <w:pPr>
        <w:ind w:firstLine="225"/>
        <w:jc w:val="both"/>
      </w:pPr>
      <w:r>
        <w:t>4.2. На конструктивной схеме резервуара отмечают элементы (участки) конструкции, которые представляются наиболее предрасположенными к разрушению. При этом первоочередное внимание следует уделять:</w:t>
      </w:r>
    </w:p>
    <w:p w:rsidR="00000000" w:rsidRDefault="001F7D5C">
      <w:pPr>
        <w:ind w:firstLine="225"/>
        <w:jc w:val="both"/>
      </w:pPr>
      <w:r>
        <w:t>- сварным соединениям в вертикальн</w:t>
      </w:r>
      <w:r>
        <w:t>ых монтажных стыках стенки, в пересечениях вертикальных и горизонтальных швов в I - III-м поясах стенки (считая снизу), сварного шва между стенкой и днищем, сварных швов приварки люков и врезок в нижние пояса резервуаров;</w:t>
      </w:r>
    </w:p>
    <w:p w:rsidR="00000000" w:rsidRDefault="001F7D5C">
      <w:pPr>
        <w:ind w:firstLine="225"/>
        <w:jc w:val="both"/>
      </w:pPr>
      <w:r>
        <w:t>- местам стенки у нижнего уторного</w:t>
      </w:r>
      <w:r>
        <w:t xml:space="preserve"> шва, соединяющего стенку с днищем;</w:t>
      </w:r>
    </w:p>
    <w:p w:rsidR="00000000" w:rsidRDefault="001F7D5C">
      <w:pPr>
        <w:ind w:firstLine="225"/>
        <w:jc w:val="both"/>
      </w:pPr>
      <w:r>
        <w:t>- местам присоединения трубопроводов, в том числе, передающих вибрационные нагрузки;</w:t>
      </w:r>
    </w:p>
    <w:p w:rsidR="00000000" w:rsidRDefault="001F7D5C">
      <w:pPr>
        <w:ind w:firstLine="225"/>
        <w:jc w:val="both"/>
      </w:pPr>
      <w:r>
        <w:t>- участкам стенки, имеющим местные выпучины или вмятины и отклонения образующих по вертикали (в пределах или за пределами допусков);</w:t>
      </w:r>
    </w:p>
    <w:p w:rsidR="00000000" w:rsidRDefault="001F7D5C">
      <w:pPr>
        <w:ind w:firstLine="225"/>
        <w:jc w:val="both"/>
      </w:pPr>
      <w:r>
        <w:t xml:space="preserve">- </w:t>
      </w:r>
      <w:r>
        <w:t>участкам конструкций, наиболее подверженных коррозии: нижнего пояса и двух верхних поясов стенки, днища, настила и несущих элементов крыши, понтонов и плавающих крыш.</w:t>
      </w:r>
    </w:p>
    <w:p w:rsidR="00000000" w:rsidRDefault="001F7D5C">
      <w:pPr>
        <w:ind w:firstLine="225"/>
        <w:jc w:val="both"/>
      </w:pPr>
      <w:r>
        <w:t>4.3. По данным эксплуатационной документации определяют длительность эксплуатации элемент</w:t>
      </w:r>
      <w:r>
        <w:t>ов резервуаров в условиях, отличающихся от проектных, анализируют обстоятельства и причины аварийных случаев и определяют участки конструкций, которые могли подвергнуться негативному воздействию. Эти участки также отмечают на конструктивной схеме резервуар</w:t>
      </w:r>
      <w:r>
        <w:t>а.</w:t>
      </w:r>
    </w:p>
    <w:p w:rsidR="00000000" w:rsidRDefault="001F7D5C">
      <w:pPr>
        <w:ind w:firstLine="225"/>
        <w:jc w:val="both"/>
      </w:pPr>
      <w:r>
        <w:t>4.4. По записям в ремонтном журнале отмечают на конструктивной схеме элементы (участки) конструкций резервуара, подвергнутые ремонту, в том числе с применением сварки.</w:t>
      </w:r>
    </w:p>
    <w:p w:rsidR="00000000" w:rsidRDefault="001F7D5C">
      <w:pPr>
        <w:ind w:firstLine="225"/>
        <w:jc w:val="both"/>
      </w:pPr>
      <w:r>
        <w:t>4.5. На основе анализа ремонтной документации уточняют представления о наиболее слабы</w:t>
      </w:r>
      <w:r>
        <w:t>х участках конструкции, интенсивности развития дефектов, возможном изменении механических характеристик материала.</w:t>
      </w:r>
    </w:p>
    <w:p w:rsidR="00000000" w:rsidRDefault="001F7D5C">
      <w:pPr>
        <w:ind w:firstLine="225"/>
        <w:jc w:val="both"/>
      </w:pPr>
      <w:r>
        <w:t>4.6. Если на аналогичных резервуарах происходили аварии из-за конструктивных недостатков, на конструктивной схеме резервуара делают отметки д</w:t>
      </w:r>
      <w:r>
        <w:t>ля проверки полноты выполнения и эффективности предложенных противоаварийных мер.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НАТУРНОЕ ОБСЛЕДОВАНИЕ РЕЗЕРВУАРОВ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5.1. Объем натурного обследования резервуара при частичном и полном обследовании изложен в п.п. 3.5.4 и 3.6.4 настоящего положения.</w:t>
      </w:r>
    </w:p>
    <w:p w:rsidR="00000000" w:rsidRDefault="001F7D5C">
      <w:pPr>
        <w:ind w:firstLine="225"/>
        <w:jc w:val="both"/>
      </w:pPr>
      <w:r>
        <w:t>5.</w:t>
      </w:r>
      <w:r>
        <w:t>2. Визуальный осмотр конструкций производится в условиях достаточной освещенности с применением, в случае необходимости, луп с увеличением до х 10.</w:t>
      </w:r>
    </w:p>
    <w:p w:rsidR="00000000" w:rsidRDefault="001F7D5C">
      <w:pPr>
        <w:ind w:firstLine="225"/>
        <w:jc w:val="both"/>
      </w:pPr>
      <w:r>
        <w:t>5.2.1. При визуальном осмотре обязательной проверке подлежат:</w:t>
      </w:r>
    </w:p>
    <w:p w:rsidR="00000000" w:rsidRDefault="001F7D5C">
      <w:pPr>
        <w:ind w:firstLine="225"/>
        <w:jc w:val="both"/>
      </w:pPr>
      <w:r>
        <w:t>- состояние основного металла стенки, днища. н</w:t>
      </w:r>
      <w:r>
        <w:t>астила и несущих элементов кровли;</w:t>
      </w:r>
    </w:p>
    <w:p w:rsidR="00000000" w:rsidRDefault="001F7D5C">
      <w:pPr>
        <w:ind w:firstLine="225"/>
        <w:jc w:val="both"/>
      </w:pPr>
      <w:r>
        <w:t>- местные деформации, вмятины и выпучины;</w:t>
      </w:r>
    </w:p>
    <w:p w:rsidR="00000000" w:rsidRDefault="001F7D5C">
      <w:pPr>
        <w:ind w:firstLine="225"/>
        <w:jc w:val="both"/>
      </w:pPr>
      <w:r>
        <w:t>- размещение патрубков на стенке резервуара по отношению к вертикальным и горизонтальным сварным соединениям в соответствии с требованиями проекта и норм;</w:t>
      </w:r>
    </w:p>
    <w:p w:rsidR="00000000" w:rsidRDefault="001F7D5C">
      <w:pPr>
        <w:ind w:firstLine="225"/>
        <w:jc w:val="both"/>
      </w:pPr>
      <w:r>
        <w:t>- состояние сварных соед</w:t>
      </w:r>
      <w:r>
        <w:t>инений конструкций резервуаров в соответствии с требованиями проектов, СНиП 3.03.01-87, стандартов на соответствующие виды сварки и типы сварных швов;</w:t>
      </w:r>
    </w:p>
    <w:p w:rsidR="00000000" w:rsidRDefault="001F7D5C">
      <w:pPr>
        <w:ind w:firstLine="225"/>
        <w:jc w:val="both"/>
      </w:pPr>
      <w:r>
        <w:t>- состояние уплотнения между понтоном (плавающей крышей) и стенкой резервуара.</w:t>
      </w:r>
    </w:p>
    <w:p w:rsidR="00000000" w:rsidRDefault="001F7D5C">
      <w:pPr>
        <w:ind w:firstLine="225"/>
        <w:jc w:val="both"/>
      </w:pPr>
      <w:r>
        <w:t xml:space="preserve">5.2.2. Осмотр поверхности </w:t>
      </w:r>
      <w:r>
        <w:t>основного металла рекомендуется производить с наружной, а затем с внутренней стороны резервуара в следующей последовательности:</w:t>
      </w:r>
    </w:p>
    <w:p w:rsidR="00000000" w:rsidRDefault="001F7D5C">
      <w:pPr>
        <w:ind w:firstLine="225"/>
        <w:jc w:val="both"/>
      </w:pPr>
      <w:r>
        <w:t>- окрайки днища и нижняя часть первого пояса;</w:t>
      </w:r>
    </w:p>
    <w:p w:rsidR="00000000" w:rsidRDefault="001F7D5C">
      <w:pPr>
        <w:ind w:firstLine="225"/>
        <w:jc w:val="both"/>
      </w:pPr>
      <w:r>
        <w:t>- наружная и внутренняя части первого и второго поясов, а затем третьего, четверто</w:t>
      </w:r>
      <w:r>
        <w:t>го поясов (с применением переносной лестницы);</w:t>
      </w:r>
    </w:p>
    <w:p w:rsidR="00000000" w:rsidRDefault="001F7D5C">
      <w:pPr>
        <w:ind w:firstLine="225"/>
        <w:jc w:val="both"/>
      </w:pPr>
      <w:r>
        <w:t>- верхние пояса с применением подвесной люльки или с помощью оптических приборов (бинокль или подзорная труба);</w:t>
      </w:r>
    </w:p>
    <w:p w:rsidR="00000000" w:rsidRDefault="001F7D5C">
      <w:pPr>
        <w:ind w:firstLine="225"/>
        <w:jc w:val="both"/>
      </w:pPr>
      <w:r>
        <w:t>- места переменного уровня нефтепродуктов;</w:t>
      </w:r>
    </w:p>
    <w:p w:rsidR="00000000" w:rsidRDefault="001F7D5C">
      <w:pPr>
        <w:ind w:firstLine="225"/>
        <w:jc w:val="both"/>
      </w:pPr>
      <w:r>
        <w:t>- настил и несущие элементы кровли.</w:t>
      </w:r>
    </w:p>
    <w:p w:rsidR="00000000" w:rsidRDefault="001F7D5C">
      <w:pPr>
        <w:ind w:firstLine="225"/>
        <w:jc w:val="both"/>
      </w:pPr>
      <w:r>
        <w:t>5.2.3. На осматрив</w:t>
      </w:r>
      <w:r>
        <w:t>аемой поверхности основного металла, предварительно очищенной от грязи и нефтепродуктов, выявляется наличие коррозионных повреждений, царапин, задиров, трещин, прожогов, оплавлений, вырывов, расслоений, неметаллических включений, закатов и других дефектов.</w:t>
      </w:r>
      <w:r>
        <w:t xml:space="preserve"> Все выявленные дефекты подлежат измерению по глубине залегания, протяженности и в масштабе наносятся на эскизы.</w:t>
      </w:r>
    </w:p>
    <w:p w:rsidR="00000000" w:rsidRDefault="001F7D5C">
      <w:pPr>
        <w:ind w:firstLine="225"/>
        <w:jc w:val="both"/>
      </w:pPr>
      <w:r>
        <w:t>5.2.4. Коррозионные повреждения подлежат разграничению по их виду на:</w:t>
      </w:r>
    </w:p>
    <w:p w:rsidR="00000000" w:rsidRDefault="001F7D5C">
      <w:pPr>
        <w:ind w:firstLine="225"/>
        <w:jc w:val="both"/>
      </w:pPr>
      <w:r>
        <w:t>- равномерную коррозию (когда сплошная коррозия охватывает всю поверхност</w:t>
      </w:r>
      <w:r>
        <w:t>ь металла);</w:t>
      </w:r>
    </w:p>
    <w:p w:rsidR="00000000" w:rsidRDefault="001F7D5C">
      <w:pPr>
        <w:ind w:firstLine="225"/>
        <w:jc w:val="both"/>
      </w:pPr>
      <w:r>
        <w:t>- местную (при охвате отдельных участков поверхности);</w:t>
      </w:r>
    </w:p>
    <w:p w:rsidR="00000000" w:rsidRDefault="001F7D5C">
      <w:pPr>
        <w:ind w:firstLine="225"/>
        <w:jc w:val="both"/>
      </w:pPr>
      <w:r>
        <w:lastRenderedPageBreak/>
        <w:t>- язвенную, точечную и пятнистую в виде отдельных точечных и пятнистых язвенных поражений, в том числе сквозных.</w:t>
      </w:r>
    </w:p>
    <w:p w:rsidR="00000000" w:rsidRDefault="001F7D5C">
      <w:pPr>
        <w:ind w:firstLine="225"/>
        <w:jc w:val="both"/>
      </w:pPr>
      <w:r>
        <w:t>5.2.5. Глубину раковин, образовавшихся от коррозии, измеряют штангенциркулем</w:t>
      </w:r>
      <w:r>
        <w:t xml:space="preserve"> или специальным приспособлением с индикатором часового типа.</w:t>
      </w:r>
    </w:p>
    <w:p w:rsidR="00000000" w:rsidRDefault="001F7D5C">
      <w:pPr>
        <w:ind w:firstLine="225"/>
        <w:jc w:val="both"/>
      </w:pPr>
      <w:r>
        <w:t>5.2.6. По результатам осмотра отмечают участки коррозионных повреждений поверхности, на которых затем проводят измерения толщин ультразвуковым толщиномером.</w:t>
      </w:r>
    </w:p>
    <w:p w:rsidR="00000000" w:rsidRDefault="001F7D5C">
      <w:pPr>
        <w:ind w:firstLine="225"/>
        <w:jc w:val="both"/>
      </w:pPr>
      <w:r>
        <w:t>5.2.7. Контроль сварных соединений по</w:t>
      </w:r>
      <w:r>
        <w:t>средством визуального осмотра производится на соответствие их требованиям проекта, СНиП 3.03.01-87, стандартов на соответствующие виды сварки и типы сварных швов.</w:t>
      </w:r>
    </w:p>
    <w:p w:rsidR="00000000" w:rsidRDefault="001F7D5C">
      <w:pPr>
        <w:ind w:firstLine="225"/>
        <w:jc w:val="both"/>
      </w:pPr>
      <w:r>
        <w:t>5.2.8. Визуальному осмотру и измерению геометрических размеров сварных швов подлежат все свар</w:t>
      </w:r>
      <w:r>
        <w:t>ные соединения четырех нижних поясов, включая уторный узел, и прилегающие к ним зоны основного металла на расстоянии не менее 20 мм, которые перед осмотром должны быть очищены от краски, грязи и нефтепродукта.</w:t>
      </w:r>
    </w:p>
    <w:p w:rsidR="00000000" w:rsidRDefault="001F7D5C">
      <w:pPr>
        <w:ind w:firstLine="225"/>
        <w:jc w:val="both"/>
      </w:pPr>
      <w:r>
        <w:t>5.2.9. Визуальный осмотр сварных швов, измерен</w:t>
      </w:r>
      <w:r>
        <w:t>ия шаблонами их геометрических размеров проводятся в условиях достаточной освещенности с целью выявления следующих наружных дефектов:</w:t>
      </w:r>
    </w:p>
    <w:p w:rsidR="00000000" w:rsidRDefault="001F7D5C">
      <w:pPr>
        <w:ind w:firstLine="225"/>
        <w:jc w:val="both"/>
      </w:pPr>
      <w:r>
        <w:t>- несоответствия размеров швов требованиям проекта, СНиП и стандартов;</w:t>
      </w:r>
    </w:p>
    <w:p w:rsidR="00000000" w:rsidRDefault="001F7D5C">
      <w:pPr>
        <w:ind w:firstLine="225"/>
        <w:jc w:val="both"/>
      </w:pPr>
      <w:r>
        <w:t>- трещин всех видов и направлений;</w:t>
      </w:r>
    </w:p>
    <w:p w:rsidR="00000000" w:rsidRDefault="001F7D5C">
      <w:pPr>
        <w:ind w:firstLine="225"/>
        <w:jc w:val="both"/>
      </w:pPr>
      <w:r>
        <w:t>- наплывов, подр</w:t>
      </w:r>
      <w:r>
        <w:t>езов, прожогов, незаваренных кратеров, непроваров, пористости и других технологических дефектов;</w:t>
      </w:r>
    </w:p>
    <w:p w:rsidR="00000000" w:rsidRDefault="001F7D5C">
      <w:pPr>
        <w:ind w:firstLine="225"/>
        <w:jc w:val="both"/>
      </w:pPr>
      <w:r>
        <w:t>- отсутствия плавных переходов от одного сечения к другому;</w:t>
      </w:r>
    </w:p>
    <w:p w:rsidR="00000000" w:rsidRDefault="001F7D5C">
      <w:pPr>
        <w:ind w:firstLine="225"/>
        <w:jc w:val="both"/>
      </w:pPr>
      <w:r>
        <w:t>- несоответствия общих геометрических размеров сварного узла требованиям проекта.</w:t>
      </w:r>
    </w:p>
    <w:p w:rsidR="00000000" w:rsidRDefault="001F7D5C">
      <w:pPr>
        <w:ind w:firstLine="225"/>
        <w:jc w:val="both"/>
      </w:pPr>
      <w:r>
        <w:t>5.2.10. При осмот</w:t>
      </w:r>
      <w:r>
        <w:t>ре сварных швов окрайков днища необходимо установить качество сварки стыкуемых кромок по всему периметру, а также измерить расстояния между сварными швами окраек днища и вертикальными сварными швами первого пояса, которое должно быть не менее 200 мм.</w:t>
      </w:r>
    </w:p>
    <w:p w:rsidR="00000000" w:rsidRDefault="001F7D5C">
      <w:pPr>
        <w:ind w:firstLine="225"/>
        <w:jc w:val="both"/>
      </w:pPr>
      <w:r>
        <w:t>5.2.1</w:t>
      </w:r>
      <w:r>
        <w:t>1. Расположение швов приварки отдельных элементов оборудования на первом поясе относительно друг друга, а также вертикальных и горизонтальных швов стенки должно соответствовать требованиям проекта.</w:t>
      </w:r>
    </w:p>
    <w:p w:rsidR="00000000" w:rsidRDefault="001F7D5C">
      <w:pPr>
        <w:ind w:firstLine="225"/>
        <w:jc w:val="both"/>
      </w:pPr>
      <w:r>
        <w:t>5.3. Для определения толщины металла рекомендуется применя</w:t>
      </w:r>
      <w:r>
        <w:t>ть толщиномеры типа УТ-93П, УТ-80-81М и др., позволяющие измерять толщину в интервале 0,2 - 50,0 мм с точностью до 0,1 мм при температуре окружающего воздуха от - 10 до + 40°С.</w:t>
      </w:r>
    </w:p>
    <w:p w:rsidR="00000000" w:rsidRDefault="001F7D5C">
      <w:pPr>
        <w:ind w:firstLine="225"/>
        <w:jc w:val="both"/>
      </w:pPr>
      <w:r>
        <w:t>В допустимых местах возможны прямые измерения толщины металла штангенциркулем.</w:t>
      </w:r>
    </w:p>
    <w:p w:rsidR="00000000" w:rsidRDefault="001F7D5C">
      <w:pPr>
        <w:ind w:firstLine="225"/>
        <w:jc w:val="both"/>
      </w:pPr>
      <w:r>
        <w:t>5.3.1. Объем работ по измерениям толщин устанавливается на основании результатов визуального осмотра конструкций резервуара и в зависимости от длительности эксплуатации и агрессивности хранимого продукта.</w:t>
      </w:r>
    </w:p>
    <w:p w:rsidR="00000000" w:rsidRDefault="001F7D5C">
      <w:pPr>
        <w:ind w:firstLine="225"/>
        <w:jc w:val="both"/>
      </w:pPr>
      <w:r>
        <w:t>Во всех случаях измерения следует проводить в места</w:t>
      </w:r>
      <w:r>
        <w:t>х, наиболее пораженных коррозией.</w:t>
      </w:r>
    </w:p>
    <w:p w:rsidR="00000000" w:rsidRDefault="001F7D5C">
      <w:pPr>
        <w:ind w:firstLine="225"/>
        <w:jc w:val="both"/>
      </w:pPr>
      <w:r>
        <w:t xml:space="preserve">5.3.2. Толщина нижних трех поясов измеряется не менее, чем по четырем диаметрально противоположным образующим в трех точках по высоте пояса (низ, середина, верх). Толщина остальных поясов измеряется не менее, чем по одной </w:t>
      </w:r>
      <w:r>
        <w:t>образующей (вдоль шахтной лестницы) также в трех точках по высоте пояса.</w:t>
      </w:r>
    </w:p>
    <w:p w:rsidR="00000000" w:rsidRDefault="001F7D5C">
      <w:pPr>
        <w:ind w:firstLine="225"/>
        <w:jc w:val="both"/>
      </w:pPr>
      <w:r>
        <w:t>5.3.3. Толщина листов днища и настила кровли измеряется по двум взаимно перпендикулярным диаметральным направлениям; проводится не менее трех измерений на каждом листе.</w:t>
      </w:r>
    </w:p>
    <w:p w:rsidR="00000000" w:rsidRDefault="001F7D5C">
      <w:pPr>
        <w:ind w:firstLine="225"/>
        <w:jc w:val="both"/>
      </w:pPr>
      <w:r>
        <w:t>5.3.4. В кровл</w:t>
      </w:r>
      <w:r>
        <w:t>е, где имеется значительный коррозионный износ, вырезают отверстие размером 500 х 500 мм и измеряют сечения элементов несущих конструкций.</w:t>
      </w:r>
    </w:p>
    <w:p w:rsidR="00000000" w:rsidRDefault="001F7D5C">
      <w:pPr>
        <w:ind w:firstLine="225"/>
        <w:jc w:val="both"/>
      </w:pPr>
      <w:r>
        <w:t>5.3.5. При измерении толщины листа в нескольких точках (не менее трех) за его действительную толщину принимается вели</w:t>
      </w:r>
      <w:r>
        <w:t>чина из всех измерений.</w:t>
      </w:r>
    </w:p>
    <w:p w:rsidR="00000000" w:rsidRDefault="001F7D5C">
      <w:pPr>
        <w:ind w:firstLine="225"/>
        <w:jc w:val="both"/>
      </w:pPr>
      <w:r>
        <w:t xml:space="preserve">5.3.6. При измерении толщины нескольких листов в пределах одного пояса или любого другого элемента резервуара за действительную толщину данного элемента (пояса, окрайка, кровли или центральной части днища, центральной части понтона </w:t>
      </w:r>
      <w:r>
        <w:t>или плавающей крыши) принимается минимальная толщина отдельного листа.</w:t>
      </w:r>
    </w:p>
    <w:p w:rsidR="00000000" w:rsidRDefault="001F7D5C">
      <w:pPr>
        <w:ind w:firstLine="225"/>
        <w:jc w:val="both"/>
      </w:pPr>
      <w:r>
        <w:t>5.3.7. Места измерения толщины элементов резервуара должны быть указаны в прилагаемых к заключению эскизах.</w:t>
      </w:r>
    </w:p>
    <w:p w:rsidR="00000000" w:rsidRDefault="001F7D5C">
      <w:pPr>
        <w:ind w:firstLine="225"/>
        <w:jc w:val="both"/>
      </w:pPr>
      <w:r>
        <w:t>5.3.8. Толщина листов понтона (плавающей крыши) измеряется на центральной час</w:t>
      </w:r>
      <w:r>
        <w:t>ти, а также коробах и ребрах жесткости.</w:t>
      </w:r>
    </w:p>
    <w:p w:rsidR="00000000" w:rsidRDefault="001F7D5C">
      <w:pPr>
        <w:ind w:firstLine="225"/>
        <w:jc w:val="both"/>
      </w:pPr>
      <w:r>
        <w:t xml:space="preserve">5.3.9. При обследовании новых резервуаров действительная толщина листов стенки резервуара заносится в паспорт с указанием координат мест измерения, и при повторном обследовании измерения толщины выполняются в тех же </w:t>
      </w:r>
      <w:r>
        <w:t xml:space="preserve">точках. </w:t>
      </w:r>
    </w:p>
    <w:p w:rsidR="00000000" w:rsidRDefault="001F7D5C">
      <w:pPr>
        <w:ind w:firstLine="225"/>
        <w:jc w:val="both"/>
      </w:pPr>
      <w:r>
        <w:lastRenderedPageBreak/>
        <w:t>5.4. Для выявления действительной геометрической формы резервуара измеряется величина отклонений образующих стенки на уровне верха каждого пояса от вертикали, проведенной из нижней точки первого пояса.</w:t>
      </w:r>
    </w:p>
    <w:p w:rsidR="00000000" w:rsidRDefault="001F7D5C">
      <w:pPr>
        <w:ind w:firstLine="225"/>
        <w:jc w:val="both"/>
      </w:pPr>
      <w:r>
        <w:t>Неравномерность осадки основания определяется</w:t>
      </w:r>
      <w:r>
        <w:t xml:space="preserve"> путем нивелирования наружного контура днища в точках, отстоящих друг от друга не более чем на 6 м (как правило, в точках, соответствующих вертикальным швам нижнего пояса).</w:t>
      </w:r>
    </w:p>
    <w:p w:rsidR="00000000" w:rsidRDefault="001F7D5C">
      <w:pPr>
        <w:ind w:firstLine="225"/>
        <w:jc w:val="both"/>
      </w:pPr>
      <w:r>
        <w:t>5.4.1. Перед проведением работ по 5.4 на внешней поверхности стенки резервуара несм</w:t>
      </w:r>
      <w:r>
        <w:t>ываемой краской или другими способами фиксируются с нанесением их на схему номера вертикальных стыков листов нижнего пояса.</w:t>
      </w:r>
    </w:p>
    <w:p w:rsidR="00000000" w:rsidRDefault="001F7D5C">
      <w:pPr>
        <w:ind w:firstLine="225"/>
        <w:jc w:val="both"/>
      </w:pPr>
      <w:r>
        <w:t>Рекомендуется нумеровать стыки по часовой стрелке, начиная от приемо-раздаточных патрубков.</w:t>
      </w:r>
    </w:p>
    <w:p w:rsidR="00000000" w:rsidRDefault="001F7D5C">
      <w:pPr>
        <w:ind w:firstLine="225"/>
        <w:jc w:val="both"/>
      </w:pPr>
      <w:r>
        <w:t>5.4.2. Измерения отклонений от вертикали</w:t>
      </w:r>
      <w:r>
        <w:t xml:space="preserve"> образующих стенки рекомендуется производить либо с помощью отвеса путем прямых измерений, либо при помощи теодолита или другими методами.</w:t>
      </w:r>
    </w:p>
    <w:p w:rsidR="00000000" w:rsidRDefault="001F7D5C">
      <w:pPr>
        <w:ind w:firstLine="225"/>
        <w:jc w:val="both"/>
      </w:pPr>
      <w:r>
        <w:t>5.4.3. Измерения целесообразно проводить дважды: на заполненном и пустом резервуаре, с определения мест наибольших де</w:t>
      </w:r>
      <w:r>
        <w:t>формаций и выявления напряженно-деформированного состояния стенки под нагрузкой. При этом необходимо обращать особое внимание на местные выпучины и вмятины и проводить в этих местах дополнительные измерения.</w:t>
      </w:r>
    </w:p>
    <w:p w:rsidR="00000000" w:rsidRDefault="001F7D5C">
      <w:pPr>
        <w:ind w:firstLine="225"/>
        <w:jc w:val="both"/>
      </w:pPr>
      <w:r>
        <w:t>5.4.4. Измерения проводятся не менее чем для 25%</w:t>
      </w:r>
      <w:r>
        <w:t xml:space="preserve"> образующих с наибольшими отклонениями по результатам замера геометрической формы при сдаче резервуаров в эксплуатацию в соответствии с таблицей п.4.1. (Приложение 4).</w:t>
      </w:r>
    </w:p>
    <w:p w:rsidR="00000000" w:rsidRDefault="001F7D5C">
      <w:pPr>
        <w:ind w:firstLine="225"/>
        <w:jc w:val="both"/>
      </w:pPr>
      <w:r>
        <w:t>Если такие данные в эксплуатационно-технической документации отсутствуют, то измерения п</w:t>
      </w:r>
      <w:r>
        <w:t>роизводятся в наиболее деформированных местах стенок по результатам визуального осмотра.</w:t>
      </w:r>
    </w:p>
    <w:p w:rsidR="00000000" w:rsidRDefault="001F7D5C">
      <w:pPr>
        <w:ind w:firstLine="225"/>
        <w:jc w:val="both"/>
      </w:pPr>
      <w:r>
        <w:t>5.4.5. Величины неравномерной осадки днища определяются с применением оптических и гидравлических нивелиров.</w:t>
      </w:r>
    </w:p>
    <w:p w:rsidR="00000000" w:rsidRDefault="001F7D5C">
      <w:pPr>
        <w:ind w:firstLine="225"/>
        <w:jc w:val="both"/>
      </w:pPr>
      <w:r>
        <w:t>5.4.6. Для оценки осадки оснований резервуаров за длительн</w:t>
      </w:r>
      <w:r>
        <w:t>ый период эксплуатации необходимо установить постоянные точки нивелирования и проводить привязку отметок точек нивелирования к постоянному реперу.</w:t>
      </w:r>
    </w:p>
    <w:p w:rsidR="00000000" w:rsidRDefault="001F7D5C">
      <w:pPr>
        <w:ind w:firstLine="225"/>
        <w:jc w:val="both"/>
      </w:pPr>
      <w:r>
        <w:t>5.5. При осмотре понтона (плавающей крыши) необходимо обратить внимание на:</w:t>
      </w:r>
    </w:p>
    <w:p w:rsidR="00000000" w:rsidRDefault="001F7D5C">
      <w:pPr>
        <w:ind w:firstLine="225"/>
        <w:jc w:val="both"/>
      </w:pPr>
      <w:r>
        <w:t>- горизонтальность поверхности (п</w:t>
      </w:r>
      <w:r>
        <w:t>ерекос в одну сторону свидетельствует о негерметичности коробов и наличии в них продукта);</w:t>
      </w:r>
    </w:p>
    <w:p w:rsidR="00000000" w:rsidRDefault="001F7D5C">
      <w:pPr>
        <w:ind w:firstLine="225"/>
        <w:jc w:val="both"/>
      </w:pPr>
      <w:r>
        <w:t>- плотность прилегания затворов к стенке резервуара и направляющим;</w:t>
      </w:r>
    </w:p>
    <w:p w:rsidR="00000000" w:rsidRDefault="001F7D5C">
      <w:pPr>
        <w:ind w:firstLine="225"/>
        <w:jc w:val="both"/>
      </w:pPr>
      <w:r>
        <w:t>- состояние сварных швов центральной части (мембраны) и сварных швов коробов;</w:t>
      </w:r>
    </w:p>
    <w:p w:rsidR="00000000" w:rsidRDefault="001F7D5C">
      <w:pPr>
        <w:ind w:firstLine="225"/>
        <w:jc w:val="both"/>
      </w:pPr>
      <w:r>
        <w:t>- наличие выпучин и</w:t>
      </w:r>
      <w:r>
        <w:t xml:space="preserve"> вмятин на центральной части;</w:t>
      </w:r>
    </w:p>
    <w:p w:rsidR="00000000" w:rsidRDefault="001F7D5C">
      <w:pPr>
        <w:ind w:firstLine="225"/>
        <w:jc w:val="both"/>
      </w:pPr>
      <w:r>
        <w:t>- техническое состояние затвора.</w:t>
      </w:r>
    </w:p>
    <w:p w:rsidR="00000000" w:rsidRDefault="001F7D5C">
      <w:pPr>
        <w:ind w:firstLine="225"/>
        <w:jc w:val="both"/>
      </w:pPr>
      <w:r>
        <w:t>5.5.1. Контроль геометрических размеров и формы понтона (плавающей крыши) проводится путем измерений:</w:t>
      </w:r>
    </w:p>
    <w:p w:rsidR="00000000" w:rsidRDefault="001F7D5C">
      <w:pPr>
        <w:ind w:firstLine="225"/>
        <w:jc w:val="both"/>
      </w:pPr>
      <w:r>
        <w:t>- радиуса понтона (плавающей крыши), измеренного от центра до наружной поверхности вертикал</w:t>
      </w:r>
      <w:r>
        <w:t>ьного бортового листа;</w:t>
      </w:r>
    </w:p>
    <w:p w:rsidR="00000000" w:rsidRDefault="001F7D5C">
      <w:pPr>
        <w:ind w:firstLine="225"/>
        <w:jc w:val="both"/>
      </w:pPr>
      <w:r>
        <w:t>- отклонений от вертикали нижних концов трубчатых стоек при опирании на них понтона (плавающей крыши);</w:t>
      </w:r>
    </w:p>
    <w:p w:rsidR="00000000" w:rsidRDefault="001F7D5C">
      <w:pPr>
        <w:ind w:firstLine="225"/>
        <w:jc w:val="both"/>
      </w:pPr>
      <w:r>
        <w:t>- отклонений от вертикали направляющих;</w:t>
      </w:r>
    </w:p>
    <w:p w:rsidR="00000000" w:rsidRDefault="001F7D5C">
      <w:pPr>
        <w:ind w:firstLine="225"/>
        <w:jc w:val="both"/>
      </w:pPr>
      <w:r>
        <w:t>- отклонения бортового листа короба от вертикали;</w:t>
      </w:r>
    </w:p>
    <w:p w:rsidR="00000000" w:rsidRDefault="001F7D5C">
      <w:pPr>
        <w:ind w:firstLine="225"/>
        <w:jc w:val="both"/>
      </w:pPr>
      <w:r>
        <w:t>- зазоров между наружной поверхностью бо</w:t>
      </w:r>
      <w:r>
        <w:t>ртового листа и стенкой резервуара.</w:t>
      </w:r>
    </w:p>
    <w:p w:rsidR="00000000" w:rsidRDefault="001F7D5C">
      <w:pPr>
        <w:ind w:firstLine="225"/>
        <w:jc w:val="both"/>
      </w:pPr>
      <w:r>
        <w:t>5.6. При контроле состояния основания и отмостки необходимо обратить внимание на:</w:t>
      </w:r>
    </w:p>
    <w:p w:rsidR="00000000" w:rsidRDefault="001F7D5C">
      <w:pPr>
        <w:ind w:firstLine="225"/>
        <w:jc w:val="both"/>
      </w:pPr>
      <w:r>
        <w:t>- наличие пустот между днищем резервуара и основанием;</w:t>
      </w:r>
    </w:p>
    <w:p w:rsidR="00000000" w:rsidRDefault="001F7D5C">
      <w:pPr>
        <w:ind w:firstLine="225"/>
        <w:jc w:val="both"/>
      </w:pPr>
      <w:r>
        <w:t>- погружение нижней части резервуара в грунт и скопление дождевой воды по контуру р</w:t>
      </w:r>
      <w:r>
        <w:t>езервуара;</w:t>
      </w:r>
    </w:p>
    <w:p w:rsidR="00000000" w:rsidRDefault="001F7D5C">
      <w:pPr>
        <w:ind w:firstLine="225"/>
        <w:jc w:val="both"/>
      </w:pPr>
      <w:r>
        <w:t>- наличие растительности на отмостке;</w:t>
      </w:r>
    </w:p>
    <w:p w:rsidR="00000000" w:rsidRDefault="001F7D5C">
      <w:pPr>
        <w:ind w:firstLine="225"/>
        <w:jc w:val="both"/>
      </w:pPr>
      <w:r>
        <w:t>- трещины и выбоины в отмостке и кольцевом лотке;</w:t>
      </w:r>
    </w:p>
    <w:p w:rsidR="00000000" w:rsidRDefault="001F7D5C">
      <w:pPr>
        <w:ind w:firstLine="225"/>
        <w:jc w:val="both"/>
      </w:pPr>
      <w:r>
        <w:t>- наличие необходимого уклона отмостки, обеспечивающего отвод воды в сторону кольцевого лотка.</w:t>
      </w:r>
    </w:p>
    <w:p w:rsidR="00000000" w:rsidRDefault="001F7D5C">
      <w:pPr>
        <w:ind w:firstLine="225"/>
        <w:jc w:val="both"/>
      </w:pPr>
      <w:r>
        <w:t>5.6.1. Уклон отмостки определяется при помощи нивелира. При эт</w:t>
      </w:r>
      <w:r>
        <w:t>ом отсчет снимается с рейки, установленной на краю отмостки, прилегающему к резервуару, и на краю отмостки, прилегающему к кольцевому лотку.</w:t>
      </w:r>
    </w:p>
    <w:p w:rsidR="00000000" w:rsidRDefault="001F7D5C">
      <w:pPr>
        <w:ind w:firstLine="225"/>
        <w:jc w:val="both"/>
      </w:pPr>
      <w:r>
        <w:t>Уклон не должен быть меньше 1 = 1: 10.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ИССЛЕДОВАНИЕ ХИМИЧЕСКОГО СОСТАВА, МЕХАНИЧЕСКИХ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СВОЙСТВ МЕТАЛЛОВ И ИХ СТР</w:t>
      </w:r>
      <w:r>
        <w:rPr>
          <w:rFonts w:ascii="Times New Roman" w:hAnsi="Times New Roman"/>
          <w:sz w:val="20"/>
        </w:rPr>
        <w:t xml:space="preserve">УКТУРЫ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6.1. Исследование химического состава, механических свойств и структуры основного металла и сварных соединений элементов резервуара выполняется в случае необходимости, для установления их соответствия требованиям нормативно-технических документов,</w:t>
      </w:r>
      <w:r>
        <w:t xml:space="preserve"> а также с целью уточнения влияния эксплуатационных факторов на структуру и свойства металла.</w:t>
      </w:r>
    </w:p>
    <w:p w:rsidR="00000000" w:rsidRDefault="001F7D5C">
      <w:pPr>
        <w:ind w:firstLine="225"/>
        <w:jc w:val="both"/>
      </w:pPr>
      <w:r>
        <w:t>6.2. Химический состав может определятся стандартными методами аналитического или спектрального анализа, обеспечивающими точность, необходимую для установки марки</w:t>
      </w:r>
      <w:r>
        <w:t xml:space="preserve"> стали. Для определения химического состава либо отбирается стружка из основного металла или сварного шва с последующей оценкой аналитическими методами, либо вырезается образец для последующего спектрального анализа. Для отбраковки легированных сталей може</w:t>
      </w:r>
      <w:r>
        <w:t>т применяться стилоскопирование переносными приборами.</w:t>
      </w:r>
    </w:p>
    <w:p w:rsidR="00000000" w:rsidRDefault="001F7D5C">
      <w:pPr>
        <w:ind w:firstLine="225"/>
        <w:jc w:val="both"/>
      </w:pPr>
      <w:r>
        <w:t>Для определения степени раскисления стали следует руководствоваться фактическим содержанием кремния и требованиями нормативно-технических документов.</w:t>
      </w:r>
    </w:p>
    <w:p w:rsidR="00000000" w:rsidRDefault="001F7D5C">
      <w:pPr>
        <w:ind w:firstLine="225"/>
        <w:jc w:val="both"/>
      </w:pPr>
      <w:r>
        <w:t>6.3. Испытания на растяжение основного металла пров</w:t>
      </w:r>
      <w:r>
        <w:t>одятся согласно требованиям ГОСТ 1497-84 “Металлы. Методы испытания на растяжение”.</w:t>
      </w:r>
    </w:p>
    <w:p w:rsidR="00000000" w:rsidRDefault="001F7D5C">
      <w:pPr>
        <w:ind w:firstLine="225"/>
        <w:jc w:val="both"/>
      </w:pPr>
      <w:r>
        <w:t>6.4. Испытания на ударную вязкость основного металла проводятся согласно требованиям ГОСТ 9454-78 “Металлы. Методы испытания на ударный изгиб при пониженных, комнатной и по</w:t>
      </w:r>
      <w:r>
        <w:t>вышенных температурах”.</w:t>
      </w:r>
    </w:p>
    <w:p w:rsidR="00000000" w:rsidRDefault="001F7D5C">
      <w:pPr>
        <w:ind w:firstLine="225"/>
        <w:jc w:val="both"/>
      </w:pPr>
      <w:r>
        <w:t>6.5. Измерение твердости можно производить на специально вырезанных и подготовленных образцах со шлифованной поверхностью с определением твердости по Бринеллю, Роквеллу или Виккерсу.</w:t>
      </w:r>
    </w:p>
    <w:p w:rsidR="00000000" w:rsidRDefault="001F7D5C">
      <w:pPr>
        <w:ind w:firstLine="225"/>
        <w:jc w:val="both"/>
      </w:pPr>
      <w:r>
        <w:t>Допускается использование таблиц перевода величин</w:t>
      </w:r>
      <w:r>
        <w:t xml:space="preserve"> показателей твердости ГОСТ 22761-77 “Металлы и сплавы. Метод измерения твердости по Бринеллю переносными твердомерами статического действия” и ГОСТ 22762-77 “Металлы и сплавы. Метод измерение твердости на пределе текучести вдавливанием шара”. Испытания тв</w:t>
      </w:r>
      <w:r>
        <w:t>ердости можно осуществлять при помощи переносных стационарных приборов со статическим и динамическим нагружением. Допускается для ориентировочной оценки временного сопротивления или предела текучести применять формулы перевода величин твердости.</w:t>
      </w:r>
    </w:p>
    <w:p w:rsidR="00000000" w:rsidRDefault="001F7D5C">
      <w:pPr>
        <w:ind w:firstLine="225"/>
        <w:jc w:val="both"/>
      </w:pPr>
      <w:r>
        <w:t>6.6. Опред</w:t>
      </w:r>
      <w:r>
        <w:t>еление механических свойств сварных соединений должно производиться в соответствии с ГОСТ 6996-66 “Сварные соединения. Методы определения механических свойств”.</w:t>
      </w:r>
    </w:p>
    <w:p w:rsidR="00000000" w:rsidRDefault="001F7D5C">
      <w:pPr>
        <w:ind w:firstLine="225"/>
        <w:jc w:val="both"/>
      </w:pPr>
      <w:r>
        <w:t>6.7. Исследования микроструктуры основного металла и сварных соединений может выполняться на сп</w:t>
      </w:r>
      <w:r>
        <w:t>ециально вырезанных и подготовленных образцах. Вырезку образцов предпочительно осуществлять механическим способом.</w:t>
      </w:r>
    </w:p>
    <w:p w:rsidR="00000000" w:rsidRDefault="001F7D5C">
      <w:pPr>
        <w:ind w:firstLine="225"/>
        <w:jc w:val="both"/>
      </w:pPr>
      <w:r>
        <w:t>При применении огневой резки для приготовления шлифа, механической обработкой должен быть снят слой не менее 4 - 5 мм для удаления зоны терми</w:t>
      </w:r>
      <w:r>
        <w:t>ческого влияния.</w:t>
      </w:r>
    </w:p>
    <w:p w:rsidR="00000000" w:rsidRDefault="001F7D5C">
      <w:pPr>
        <w:ind w:firstLine="225"/>
        <w:jc w:val="both"/>
      </w:pPr>
      <w:r>
        <w:t xml:space="preserve">Допускается исследование микроструктуры на сколах и репликах. </w:t>
      </w:r>
    </w:p>
    <w:p w:rsidR="00000000" w:rsidRDefault="001F7D5C">
      <w:pPr>
        <w:ind w:firstLine="225"/>
        <w:jc w:val="both"/>
      </w:pPr>
      <w:r>
        <w:t>Рекомендуется применение оптических приборов с увеличением х 100 и х 500.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ОЦЕНКА ОСТАТОЧНОГО РЕСУРСА БЕЗОПАСНОЙ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ЭКСПЛУАТАЦИИ РЕЗЕРВУАРОВ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7.1. Главным условием возможности</w:t>
      </w:r>
      <w:r>
        <w:t xml:space="preserve"> безопасной эксплуатации резервуара на расчетных параметрах является удовлетворение параметров его элементов, работающих под нагрузкой, условиям прочности и устойчивости согласно СНиП 11-23-81* “Нормы проектирования. Стальные конструкции”.</w:t>
      </w:r>
    </w:p>
    <w:p w:rsidR="00000000" w:rsidRDefault="001F7D5C">
      <w:pPr>
        <w:ind w:firstLine="225"/>
        <w:jc w:val="both"/>
      </w:pPr>
      <w:r>
        <w:t>7.2. Значения ра</w:t>
      </w:r>
      <w:r>
        <w:t>счетных параметров конструктивных элементов резервуара (геометрические размеры, толщины и др.) принимаются по данным технического обследования конструкций, а характеристики материалов - по нормативным прочностным показателям согласно проектным данным, либо</w:t>
      </w:r>
      <w:r>
        <w:t xml:space="preserve"> по результатам исследований химического состава и механических свойств металла.</w:t>
      </w:r>
    </w:p>
    <w:p w:rsidR="00000000" w:rsidRDefault="001F7D5C">
      <w:pPr>
        <w:ind w:firstLine="225"/>
        <w:jc w:val="both"/>
      </w:pPr>
      <w:r>
        <w:t>7.3. Расчеты конструктивных элементов на прочность (в том числе с учетом сопротивления стали хрупкому разрушению) и устойчивость производятся специализированной организацией (</w:t>
      </w:r>
      <w:r>
        <w:t>Приложение 1) в случае отклонения фактических толщин от проектных в сторону уменьшения и внесения в конструкцию при сооружении или ремонте отклонений от проекта, не согласованных с проектной организацией и неподтвержденных расчетом, при отклонениях геометр</w:t>
      </w:r>
      <w:r>
        <w:t>ической формы элементов и сварных швов от нормативов на изготовление, а также в случае отсутствия проектной и исполнительной документации.</w:t>
      </w:r>
    </w:p>
    <w:p w:rsidR="00000000" w:rsidRDefault="001F7D5C">
      <w:pPr>
        <w:ind w:firstLine="225"/>
        <w:jc w:val="both"/>
      </w:pPr>
      <w:r>
        <w:lastRenderedPageBreak/>
        <w:t>7.4. При выполнении расчетов используются минимальные толщины конструктивных элементов, полученные по данным выполнен</w:t>
      </w:r>
      <w:r>
        <w:t>ных замеров.</w:t>
      </w:r>
    </w:p>
    <w:p w:rsidR="00000000" w:rsidRDefault="001F7D5C">
      <w:pPr>
        <w:ind w:firstLine="225"/>
        <w:jc w:val="both"/>
      </w:pPr>
      <w:r>
        <w:t>7.5. Расчеты на прочность и устойчивость при определении остаточного ресурса резервуаров должны выполняться с учетом эксплуатационной нагрузки (гидростатическое давление жидкости и избыточное давление газа, аварийный вакуум), концентрации напр</w:t>
      </w:r>
      <w:r>
        <w:t>яжений, вызванных местными дефектами в сварных швах, отклонениями в геометрической форме стенки и другими дефектами, а также фактической (остаточной) толщины стенки.</w:t>
      </w:r>
    </w:p>
    <w:p w:rsidR="00000000" w:rsidRDefault="001F7D5C">
      <w:pPr>
        <w:ind w:firstLine="225"/>
        <w:jc w:val="both"/>
      </w:pPr>
      <w:r>
        <w:t>7.6. Эксплуатация резервуара не допускается, когда по условиям прочности и устойчивости со</w:t>
      </w:r>
      <w:r>
        <w:t>гласно СНиП 11-23-81* “Нормы проектирования. Стальные конструкции” при статических нагружениях отдельные элементы конструкции резервуара вследствие коррозионного износа, механических повреждений, снижения механических свойств металла и др., не соответствую</w:t>
      </w:r>
      <w:r>
        <w:t>т расчетным эксплуатационным параметрам. В этом случае продление срока службы резервуара возможно при установлении пониженных эксплуатационных параметров (снижение уровня залива, уменьшение избыточного давления и вакуума) или после проведения комплесных ме</w:t>
      </w:r>
      <w:r>
        <w:t>роприятий по ремонту и усилению металлических конструкций резервуара.</w:t>
      </w:r>
    </w:p>
    <w:p w:rsidR="00000000" w:rsidRDefault="001F7D5C">
      <w:pPr>
        <w:ind w:firstLine="225"/>
        <w:jc w:val="both"/>
      </w:pPr>
      <w:r>
        <w:t>Если такие мероприятия экономически или технически не целесообразны, резервуар может быть исключен из эксплуатации.</w:t>
      </w:r>
    </w:p>
    <w:p w:rsidR="00000000" w:rsidRDefault="001F7D5C">
      <w:pPr>
        <w:ind w:firstLine="225"/>
        <w:jc w:val="both"/>
      </w:pPr>
      <w:r>
        <w:t>7.7. Для резервуаров вместимостью более 10000 м</w:t>
      </w:r>
      <w:r w:rsidR="009304F9">
        <w:rPr>
          <w:noProof/>
          <w:position w:val="-4"/>
        </w:rPr>
        <w:drawing>
          <wp:inline distT="0" distB="0" distL="0" distR="0">
            <wp:extent cx="85725" cy="190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имеющих отклонения о</w:t>
      </w:r>
      <w:r>
        <w:t>бразующих от вертикали, превышающих допускаемые (табл. п. 4.1. Приложения 4) и дефекты в зоне монтажных сварных соединений, испытывающих циклические нагружения более 250 полных циклов в год, специализированной организацией выполняются поверочные расчеты на</w:t>
      </w:r>
      <w:r>
        <w:t xml:space="preserve"> малоцикловую усталость для определения расчетного ресурса.</w:t>
      </w:r>
    </w:p>
    <w:p w:rsidR="00000000" w:rsidRDefault="001F7D5C">
      <w:pPr>
        <w:ind w:firstLine="225"/>
        <w:jc w:val="both"/>
      </w:pPr>
      <w:r>
        <w:t>7.8. Для резервуаров, эксплуатирующихся при пониженных температурах, необходимо выполнение поверочных расчетов узлов с учетом хрупкого разрушения согласно СНиП 11-23-81* “Нормы проектирования. Ста</w:t>
      </w:r>
      <w:r>
        <w:t>льные конструкции”.</w:t>
      </w:r>
    </w:p>
    <w:p w:rsidR="00000000" w:rsidRDefault="001F7D5C">
      <w:pPr>
        <w:ind w:firstLine="225"/>
        <w:jc w:val="both"/>
      </w:pPr>
      <w:r>
        <w:t>7.9. При снижении механических свойств основного металла или сварных соединений ниже требований нормативно-технической документации поверочный расчет на прочность должен это учитывать путем соответствующего уменьшения допустимых напряже</w:t>
      </w:r>
      <w:r>
        <w:t>ний.</w:t>
      </w:r>
    </w:p>
    <w:p w:rsidR="00000000" w:rsidRDefault="001F7D5C">
      <w:pPr>
        <w:ind w:firstLine="225"/>
        <w:jc w:val="both"/>
      </w:pPr>
      <w:r>
        <w:t>7.10. Если по результатам расчета на устойчивость устанавливается необходимость снижения величины эксплуатационного вакуума, производится соответствующая регулировка дыхательных и предохранительных клапанов.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НОРМЫ ОЦЕНКИ ТЕХНИЧЕСКОГО СОСТОЯНИЯ ПО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РЕЗУЛЬТАТАМ ТЕХНИЧЕСКОГО ДИАГНОСТИРОВАНИЯ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8.1. Данные технического диагностирования резервуара служат основанием для разработки рекомендаций по его безопасной эксплуатации.</w:t>
      </w:r>
    </w:p>
    <w:p w:rsidR="00000000" w:rsidRDefault="001F7D5C">
      <w:pPr>
        <w:ind w:firstLine="225"/>
        <w:jc w:val="both"/>
      </w:pPr>
      <w:r>
        <w:t xml:space="preserve">8.2. Отбраковка отдельных элементов резервуара (стенки, днища, настила и несущих </w:t>
      </w:r>
      <w:r>
        <w:t>элементов кровли, понтона (плавающей крыши) или всего резервуара производится на основании детального рассмотрения результатов технического диагностирования с учетом всех факторов, снижающих его надежность при эксплуатации.</w:t>
      </w:r>
    </w:p>
    <w:p w:rsidR="00000000" w:rsidRDefault="001F7D5C">
      <w:pPr>
        <w:ind w:firstLine="225"/>
        <w:jc w:val="both"/>
      </w:pPr>
      <w:r>
        <w:t>8.3. Все выявленные при техничес</w:t>
      </w:r>
      <w:r>
        <w:t>ком диагностировании данные, характеризующие состояние основного металла, сварных соединений, деформацию, коррозию, геометрическую форму, уклон корпуса и другое, должны быть сопоставлены с требованием проектов, действующих СНиП, ГОСТ и другой нормативно-те</w:t>
      </w:r>
      <w:r>
        <w:t>хнической документации.</w:t>
      </w:r>
    </w:p>
    <w:p w:rsidR="00000000" w:rsidRDefault="001F7D5C">
      <w:pPr>
        <w:ind w:firstLine="225"/>
        <w:jc w:val="both"/>
      </w:pPr>
      <w:r>
        <w:t>8.4. В случае выявления недопустимых отклонений от требований проектов и действующей нормативно-технической документации резервуар подлежит выводу из эксплуатации.</w:t>
      </w:r>
    </w:p>
    <w:p w:rsidR="00000000" w:rsidRDefault="001F7D5C">
      <w:pPr>
        <w:ind w:firstLine="225"/>
        <w:jc w:val="both"/>
      </w:pPr>
      <w:r>
        <w:t>8.5. Все дефектные элементы резервуара, которые могут быть исправлен</w:t>
      </w:r>
      <w:r>
        <w:t>ы, должны быть отремонтированы с последующими испытаниями и проверкой.</w:t>
      </w:r>
    </w:p>
    <w:p w:rsidR="00000000" w:rsidRDefault="001F7D5C">
      <w:pPr>
        <w:ind w:firstLine="225"/>
        <w:jc w:val="both"/>
      </w:pPr>
      <w:r>
        <w:t>При большом предполагаемом объеме работ, требующих из-за износа металлоконструкций смены листов стенки, днища, кровли и др., целесообразность восстановительного ремонта определяется эко</w:t>
      </w:r>
      <w:r>
        <w:t>номическим расчетом.</w:t>
      </w:r>
    </w:p>
    <w:p w:rsidR="00000000" w:rsidRDefault="001F7D5C">
      <w:pPr>
        <w:ind w:firstLine="225"/>
        <w:jc w:val="both"/>
      </w:pPr>
      <w:r>
        <w:t>8.6. Материалы для резервуарных металлоконструкций по химическому составу и механическим свойствам, полученные на основании данных эксплуатационно-технической документации или результатов исследований на образцах (если они производилис</w:t>
      </w:r>
      <w:r>
        <w:t>ь), должны удовлетворять условиям прочности.</w:t>
      </w:r>
    </w:p>
    <w:p w:rsidR="00000000" w:rsidRDefault="001F7D5C">
      <w:pPr>
        <w:ind w:firstLine="225"/>
        <w:jc w:val="both"/>
      </w:pPr>
      <w:r>
        <w:t>8.7. Выявленные участки листовых конструкций с недопустимыми наружными дефектами в виде коррозионных повреждений, царапин, задиров, трещин, прожогов, оплавлений, вырывов, расслоений, неметаллических включений, з</w:t>
      </w:r>
      <w:r>
        <w:t xml:space="preserve">акатов и др. должны быть исправлены в каждом </w:t>
      </w:r>
      <w:r>
        <w:lastRenderedPageBreak/>
        <w:t>конкретном случае по специальной технологии с использованием существующих типовых решений (часть II “Правил технической эксплуатации резервуаров и инструкций по их ремонту”, М., “Недра”, 1988 г.).</w:t>
      </w:r>
    </w:p>
    <w:p w:rsidR="00000000" w:rsidRDefault="001F7D5C">
      <w:pPr>
        <w:ind w:firstLine="225"/>
        <w:jc w:val="both"/>
      </w:pPr>
      <w:r>
        <w:t>8.8. Сварные с</w:t>
      </w:r>
      <w:r>
        <w:t xml:space="preserve">оединения конструктивных элементов резервуара по внешнему виду и по результатам неразрушающих методов контроля (если они проводились) должны удовлетворять требованиям проекта, СНиП 3.03.01-87, стандартов на соответствующие виды сварки и типы сварных швов. </w:t>
      </w:r>
      <w:r>
        <w:t>Дефекты должны устраняться в соответствии с требованиями СНиП 3.03.01-87 и “Правил технической эксплуатации резервуаров и инструкций по их ремонту” , М., “Недра”, 1988 г.</w:t>
      </w:r>
    </w:p>
    <w:p w:rsidR="00000000" w:rsidRDefault="001F7D5C">
      <w:pPr>
        <w:ind w:firstLine="225"/>
        <w:jc w:val="both"/>
      </w:pPr>
      <w:r>
        <w:t>8.9. Толщины отдельных листов стенки по результатам измерений в наиболее прокорродиро</w:t>
      </w:r>
      <w:r>
        <w:t>вавших местах не должны быть меньше предельно допустимых толщин, определяемых расчетом на прочность и устойчивость.</w:t>
      </w:r>
    </w:p>
    <w:p w:rsidR="00000000" w:rsidRDefault="001F7D5C">
      <w:pPr>
        <w:ind w:firstLine="225"/>
        <w:jc w:val="both"/>
      </w:pPr>
      <w:r>
        <w:t>8.10. Предельно допустимый износ листов кровли, центральной части понтона (плавающей крыши), днища резервуара по измерениям наиболее изношен</w:t>
      </w:r>
      <w:r>
        <w:t>ных частей не должен превышать 50% от проектной величины.</w:t>
      </w:r>
    </w:p>
    <w:p w:rsidR="00000000" w:rsidRDefault="001F7D5C">
      <w:pPr>
        <w:ind w:firstLine="225"/>
        <w:jc w:val="both"/>
      </w:pPr>
      <w:r>
        <w:t xml:space="preserve">8.11. Предельно допустимый износ несущих конструкций кровли (ферм прогонов, балок, связей), а также окрайков днища и коробов понтона (плавающей крыши) не должен превышать 30% от проектной величины, </w:t>
      </w:r>
      <w:r>
        <w:t>если сохраняется их расчетная несущая способность.</w:t>
      </w:r>
    </w:p>
    <w:p w:rsidR="00000000" w:rsidRDefault="001F7D5C">
      <w:pPr>
        <w:ind w:firstLine="225"/>
        <w:jc w:val="both"/>
      </w:pPr>
      <w:r>
        <w:t>8.12. Отклонения от вертикали образующих стенки резервуаров, сданных в эксплуатацию, а также находящихся в эксплуатации не более 5 лет, не должны превышать предельных значений, приведенных в табл. п. 4.1 П</w:t>
      </w:r>
      <w:r>
        <w:t>риложения 4.</w:t>
      </w:r>
    </w:p>
    <w:p w:rsidR="00000000" w:rsidRDefault="001F7D5C">
      <w:pPr>
        <w:ind w:firstLine="225"/>
        <w:jc w:val="both"/>
      </w:pPr>
      <w:r>
        <w:t>Предельные отклонения от вертикали образующих стенок резервуаров, находящихся в эксплуатации более 5 лет могут быть увеличены:</w:t>
      </w:r>
    </w:p>
    <w:p w:rsidR="00000000" w:rsidRDefault="001F7D5C">
      <w:pPr>
        <w:ind w:firstLine="225"/>
        <w:jc w:val="both"/>
      </w:pPr>
      <w:r>
        <w:t>- при сроке эксплуатации более 5 лет - в 1,3 раза;</w:t>
      </w:r>
    </w:p>
    <w:p w:rsidR="00000000" w:rsidRDefault="001F7D5C">
      <w:pPr>
        <w:ind w:firstLine="225"/>
        <w:jc w:val="both"/>
      </w:pPr>
      <w:r>
        <w:t>- при сроке эксплуатации более 20 лет - в 2 раза.</w:t>
      </w:r>
    </w:p>
    <w:p w:rsidR="00000000" w:rsidRDefault="001F7D5C">
      <w:pPr>
        <w:ind w:firstLine="225"/>
        <w:jc w:val="both"/>
      </w:pPr>
      <w:r>
        <w:t>8.13. Допускаем</w:t>
      </w:r>
      <w:r>
        <w:t>ые местные отклонения (выпучины и вмятины) стенки от прямой, соединяющей верхний и нижний края деформированного участка вдоль образующей для новых резервуаров приведены в таблице п. 4.2 Приложения 4.</w:t>
      </w:r>
    </w:p>
    <w:p w:rsidR="00000000" w:rsidRDefault="001F7D5C">
      <w:pPr>
        <w:ind w:firstLine="225"/>
        <w:jc w:val="both"/>
      </w:pPr>
      <w:r>
        <w:t>Для резервуаров, находящихся в эксплуатации более 5 лет,</w:t>
      </w:r>
      <w:r>
        <w:t xml:space="preserve"> допускаются отклонения на 30% больше, чем для построенных вновь.</w:t>
      </w:r>
    </w:p>
    <w:p w:rsidR="00000000" w:rsidRDefault="001F7D5C">
      <w:pPr>
        <w:ind w:firstLine="225"/>
        <w:jc w:val="both"/>
      </w:pPr>
      <w:r>
        <w:t>8.14. При наличии отклонений, величины которых превышают допустимые пределы, указанные в п.п. 8.12 и 8.13, резервуар должен быть выведен из эксплуатации для исправления дефектов формы. Допус</w:t>
      </w:r>
      <w:r>
        <w:t>кается эксплуатация такого резервуара до очередного капитального ремонта с ограничением эксплуатационных нагрузок (уровень залива, вакуум), подтвержденного расчетом.</w:t>
      </w:r>
    </w:p>
    <w:p w:rsidR="00000000" w:rsidRDefault="001F7D5C">
      <w:pPr>
        <w:ind w:firstLine="225"/>
        <w:jc w:val="both"/>
      </w:pPr>
      <w:r>
        <w:t>8.15. На днищах диаметром до 12 м включительно высота выпучин не должна превышать 150 мм п</w:t>
      </w:r>
      <w:r>
        <w:t>ри предельной площади хлопуна - 2 м</w:t>
      </w:r>
      <w:r>
        <w:rPr>
          <w:vertAlign w:val="superscript"/>
        </w:rPr>
        <w:t>2</w:t>
      </w:r>
      <w:r>
        <w:t>.</w:t>
      </w:r>
    </w:p>
    <w:p w:rsidR="00000000" w:rsidRDefault="001F7D5C">
      <w:pPr>
        <w:ind w:firstLine="225"/>
        <w:jc w:val="both"/>
      </w:pPr>
      <w:r>
        <w:t>На днищах диаметром свыше 12 м высота выпучин не должна превышать 180 мм при предельной площади хлопуна - 5 м</w:t>
      </w:r>
      <w:r>
        <w:rPr>
          <w:vertAlign w:val="superscript"/>
        </w:rPr>
        <w:t>2</w:t>
      </w:r>
      <w:r>
        <w:t>.</w:t>
      </w:r>
    </w:p>
    <w:p w:rsidR="00000000" w:rsidRDefault="001F7D5C">
      <w:pPr>
        <w:ind w:firstLine="225"/>
        <w:jc w:val="both"/>
      </w:pPr>
      <w:r>
        <w:t>При большей площади хлопуна, более сложной их форме, и наличии резких перегибов - обследование днища произ</w:t>
      </w:r>
      <w:r>
        <w:t>водится по специальной программе, разрабатываемой специализированной организацией (Приложение 1).</w:t>
      </w:r>
    </w:p>
    <w:p w:rsidR="00000000" w:rsidRDefault="001F7D5C">
      <w:pPr>
        <w:ind w:firstLine="225"/>
        <w:jc w:val="both"/>
      </w:pPr>
      <w:r>
        <w:t>8.16. Предельные отклонения от горизонтали наружного контура днища эксплуатируемых резервуаров могут быть увеличены по сравнению с допускаемыми отклонениями д</w:t>
      </w:r>
      <w:r>
        <w:t>ля сдаваемых в эксплуатацию резервуаров по СНиП 3.03.01-87 (табл. п. 4.3 Приложения 4):</w:t>
      </w:r>
    </w:p>
    <w:p w:rsidR="00000000" w:rsidRDefault="001F7D5C">
      <w:pPr>
        <w:ind w:firstLine="225"/>
        <w:jc w:val="both"/>
      </w:pPr>
      <w:r>
        <w:t>- при сроке эксплуатации более 5 лет - в 1,3 раза;</w:t>
      </w:r>
    </w:p>
    <w:p w:rsidR="00000000" w:rsidRDefault="001F7D5C">
      <w:pPr>
        <w:ind w:firstLine="225"/>
        <w:jc w:val="both"/>
      </w:pPr>
      <w:r>
        <w:t>- при сроке эксплуатации более 20 лет - в 2 раза.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ТРЕБОВАНИЯ К ОФОРМЛЕНИЮ ЗАКЛЮЧЕНИЙ ПО РЕЗУЛЬТАТАМ ТЕХНИЧЕСКОГО </w:t>
      </w:r>
      <w:r>
        <w:rPr>
          <w:rFonts w:ascii="Times New Roman" w:hAnsi="Times New Roman"/>
          <w:sz w:val="20"/>
        </w:rPr>
        <w:t xml:space="preserve">ДИАГНОСТИРОВАНИЯ РЕЗЕРВУАРОВ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9.1. Результаты технического диагностирования отражаются в заключении и приложениях к нему.</w:t>
      </w:r>
    </w:p>
    <w:p w:rsidR="00000000" w:rsidRDefault="001F7D5C">
      <w:pPr>
        <w:ind w:firstLine="225"/>
        <w:jc w:val="both"/>
      </w:pPr>
      <w:r>
        <w:t>Все обнаружения в результате анализа технической документации, натурного обследования, неразрушающих методов контроля сварных соедине</w:t>
      </w:r>
      <w:r>
        <w:t>ний, определения фактических механических свойств, химического состава и структуры металла резервуара, отклонения от требований проектной и нормативной документации, особенности и выявленные дефекты фиксируются с указанием места расположения и размеров.</w:t>
      </w:r>
    </w:p>
    <w:p w:rsidR="00000000" w:rsidRDefault="001F7D5C">
      <w:pPr>
        <w:ind w:firstLine="225"/>
        <w:jc w:val="both"/>
      </w:pPr>
      <w:r>
        <w:lastRenderedPageBreak/>
        <w:t>Ус</w:t>
      </w:r>
      <w:r>
        <w:t>ловные обозначения, применяемые в техническом заключении для описания выявленных дефектов, должны отвечать требованиям соответствующей нормативно-технической документации.</w:t>
      </w:r>
    </w:p>
    <w:p w:rsidR="00000000" w:rsidRDefault="001F7D5C">
      <w:pPr>
        <w:ind w:firstLine="225"/>
        <w:jc w:val="both"/>
      </w:pPr>
      <w:r>
        <w:t>Графическое отображение результатов контроля вместе с другими материалами (картами о</w:t>
      </w:r>
      <w:r>
        <w:t>бследования, дефектными ведомостями, дефектограммами, фотографиями и пр.) прилагаются к заключению.</w:t>
      </w:r>
    </w:p>
    <w:p w:rsidR="00000000" w:rsidRDefault="001F7D5C">
      <w:pPr>
        <w:ind w:firstLine="225"/>
        <w:jc w:val="both"/>
      </w:pPr>
      <w:r>
        <w:t>9.2. Техническое заключение должно содержать следующую информацию, в том числе взятую из эксплуатационно-технической документации на резервуар (см. п.п. 9.2</w:t>
      </w:r>
      <w:r>
        <w:t>.1 - 9.2.11).</w:t>
      </w:r>
    </w:p>
    <w:p w:rsidR="00000000" w:rsidRDefault="001F7D5C">
      <w:pPr>
        <w:ind w:firstLine="225"/>
        <w:jc w:val="both"/>
      </w:pPr>
      <w:r>
        <w:t>9.2.1. Наименование организации, выполняющей техническое диагностирование с указанием лицензии на проведение работ, фамилии и должностей исполнителей, документов, подтверждающих их квалификацию.</w:t>
      </w:r>
    </w:p>
    <w:p w:rsidR="00000000" w:rsidRDefault="001F7D5C">
      <w:pPr>
        <w:ind w:firstLine="225"/>
        <w:jc w:val="both"/>
      </w:pPr>
      <w:r>
        <w:t xml:space="preserve">9.2.2. Данные об организациях-проектировщиках, </w:t>
      </w:r>
      <w:r>
        <w:t>заводах-изготовителях, монтажных организациях, дате изготовления, монтажа и пуска в эксплуатацию.</w:t>
      </w:r>
    </w:p>
    <w:p w:rsidR="00000000" w:rsidRDefault="001F7D5C">
      <w:pPr>
        <w:ind w:firstLine="225"/>
        <w:jc w:val="both"/>
      </w:pPr>
      <w:r>
        <w:t>9.2.3. Место расположения резервуара, его инвентарный номер и дату проверки.</w:t>
      </w:r>
    </w:p>
    <w:p w:rsidR="00000000" w:rsidRDefault="001F7D5C">
      <w:pPr>
        <w:ind w:firstLine="225"/>
        <w:jc w:val="both"/>
      </w:pPr>
      <w:r>
        <w:t>9.2.4. Техническую характеристику резервуара: тип, диаметр, высота, объем, храним</w:t>
      </w:r>
      <w:r>
        <w:t>ый в резервуаре нефтепродукт.</w:t>
      </w:r>
    </w:p>
    <w:p w:rsidR="00000000" w:rsidRDefault="001F7D5C">
      <w:pPr>
        <w:ind w:firstLine="225"/>
        <w:jc w:val="both"/>
      </w:pPr>
      <w:r>
        <w:t>9.2.5. Сведения о металле по проекту и сертификату: химический состав, механические свойства, толщина листов.</w:t>
      </w:r>
    </w:p>
    <w:p w:rsidR="00000000" w:rsidRDefault="001F7D5C">
      <w:pPr>
        <w:ind w:firstLine="225"/>
        <w:jc w:val="both"/>
      </w:pPr>
      <w:r>
        <w:t>9.2.6. Сведения о технологии сварки и сварочных материалах, примененных при изготовлении и монтаже резервуара.</w:t>
      </w:r>
    </w:p>
    <w:p w:rsidR="00000000" w:rsidRDefault="001F7D5C">
      <w:pPr>
        <w:ind w:firstLine="225"/>
        <w:jc w:val="both"/>
      </w:pPr>
      <w:r>
        <w:t>9.2.7</w:t>
      </w:r>
      <w:r>
        <w:t>. Данные по объемам, методам и результатам контроля конструкций и сварных соединений при изготовлении, монтаже и ремонте резервуара.</w:t>
      </w:r>
    </w:p>
    <w:p w:rsidR="00000000" w:rsidRDefault="001F7D5C">
      <w:pPr>
        <w:ind w:firstLine="225"/>
        <w:jc w:val="both"/>
      </w:pPr>
      <w:r>
        <w:t>9.2.8. Данные о режиме эксплуатации резервуара по технологической карте.</w:t>
      </w:r>
    </w:p>
    <w:p w:rsidR="00000000" w:rsidRDefault="001F7D5C">
      <w:pPr>
        <w:ind w:firstLine="225"/>
        <w:jc w:val="both"/>
      </w:pPr>
      <w:r>
        <w:t>9.2.9. Характеристику проводимых ранее ремонтов (к</w:t>
      </w:r>
      <w:r>
        <w:t>огда, по какой причине, какие дефекты и как устранялись с данными по примененным материалам).</w:t>
      </w:r>
    </w:p>
    <w:p w:rsidR="00000000" w:rsidRDefault="001F7D5C">
      <w:pPr>
        <w:ind w:firstLine="225"/>
        <w:jc w:val="both"/>
      </w:pPr>
      <w:r>
        <w:t>9.2.10. Даты и результаты проводимых ранее технических диагностирований.</w:t>
      </w:r>
    </w:p>
    <w:p w:rsidR="00000000" w:rsidRDefault="001F7D5C">
      <w:pPr>
        <w:ind w:firstLine="225"/>
        <w:jc w:val="both"/>
      </w:pPr>
      <w:r>
        <w:t>9.2.11. Содержание программы технического диагностирования и сведения о научно-техническо</w:t>
      </w:r>
      <w:r>
        <w:t>й документации, в соответствии с которой производилось обследование.</w:t>
      </w:r>
    </w:p>
    <w:p w:rsidR="00000000" w:rsidRDefault="001F7D5C">
      <w:pPr>
        <w:ind w:firstLine="225"/>
        <w:jc w:val="both"/>
      </w:pPr>
      <w:r>
        <w:t xml:space="preserve">9.2.12. Сведения о типах (марках) оборудования и аппаратуры, использованной при данном техническом диагностировании с подтверждением данных об их государственной поверке. </w:t>
      </w:r>
    </w:p>
    <w:p w:rsidR="00000000" w:rsidRDefault="001F7D5C">
      <w:pPr>
        <w:ind w:firstLine="225"/>
        <w:jc w:val="both"/>
      </w:pPr>
      <w:r>
        <w:t>9.2.13. Результ</w:t>
      </w:r>
      <w:r>
        <w:t>аты анализа технической документации по изготовлению, монтажу, эксплуатации, ремонту, реконструкции и предыдущим результатам контроля.</w:t>
      </w:r>
    </w:p>
    <w:p w:rsidR="00000000" w:rsidRDefault="001F7D5C">
      <w:pPr>
        <w:ind w:firstLine="225"/>
        <w:jc w:val="both"/>
      </w:pPr>
      <w:r>
        <w:t>9.2.14. Результаты текущего обследования резервуара, которые должны содержать следующую информацию:</w:t>
      </w:r>
    </w:p>
    <w:p w:rsidR="00000000" w:rsidRDefault="001F7D5C">
      <w:pPr>
        <w:ind w:firstLine="225"/>
        <w:jc w:val="both"/>
      </w:pPr>
      <w:r>
        <w:t>- результаты визуальн</w:t>
      </w:r>
      <w:r>
        <w:t>ого осмотра и сопутствующих измерений;</w:t>
      </w:r>
    </w:p>
    <w:p w:rsidR="00000000" w:rsidRDefault="001F7D5C">
      <w:pPr>
        <w:ind w:firstLine="225"/>
        <w:jc w:val="both"/>
      </w:pPr>
      <w:r>
        <w:t>- результаты измерения фактических толщин конструкций;</w:t>
      </w:r>
    </w:p>
    <w:p w:rsidR="00000000" w:rsidRDefault="001F7D5C">
      <w:pPr>
        <w:ind w:firstLine="225"/>
        <w:jc w:val="both"/>
      </w:pPr>
      <w:r>
        <w:t>- результаты измерения геометрической формы стенки и нивелирования основания резервуара и отмостки;</w:t>
      </w:r>
    </w:p>
    <w:p w:rsidR="00000000" w:rsidRDefault="001F7D5C">
      <w:pPr>
        <w:ind w:firstLine="225"/>
        <w:jc w:val="both"/>
      </w:pPr>
      <w:r>
        <w:t>- результаты неразрушающих методов контроля сварных соединений</w:t>
      </w:r>
      <w:r>
        <w:t xml:space="preserve"> и основного металла (в случае их проведения);</w:t>
      </w:r>
    </w:p>
    <w:p w:rsidR="00000000" w:rsidRDefault="001F7D5C">
      <w:pPr>
        <w:ind w:firstLine="225"/>
        <w:jc w:val="both"/>
      </w:pPr>
      <w:r>
        <w:t>- результаты механических испытаний химического и металлографического анализа основного металла и сварных соединений (в случае их проведения);</w:t>
      </w:r>
    </w:p>
    <w:p w:rsidR="00000000" w:rsidRDefault="001F7D5C">
      <w:pPr>
        <w:ind w:firstLine="225"/>
        <w:jc w:val="both"/>
      </w:pPr>
      <w:r>
        <w:t>- выводы по результатам обследования, которые должны содержать осн</w:t>
      </w:r>
      <w:r>
        <w:t>овные данные, характеризующие состояние отдельных элементов и резервуара в целом.</w:t>
      </w:r>
    </w:p>
    <w:p w:rsidR="00000000" w:rsidRDefault="001F7D5C">
      <w:pPr>
        <w:ind w:firstLine="225"/>
        <w:jc w:val="both"/>
      </w:pPr>
      <w:r>
        <w:t>9.2.15. Текстовая часть заключения должна заканчиваться выводами и рекомендациями с указанием возможности или условий дальнейшей надежной эксплуатации резервуара.</w:t>
      </w:r>
    </w:p>
    <w:p w:rsidR="00000000" w:rsidRDefault="001F7D5C">
      <w:pPr>
        <w:ind w:firstLine="225"/>
        <w:jc w:val="both"/>
      </w:pPr>
      <w:r>
        <w:t>В случае не</w:t>
      </w:r>
      <w:r>
        <w:t>обходимости, в заключении должны проводиться результаты оценки ремонтопригодности резервуара и рекомендации по выполнению ремонтных работ или по исключению его из эксплуатации.</w:t>
      </w:r>
    </w:p>
    <w:p w:rsidR="00000000" w:rsidRDefault="001F7D5C">
      <w:pPr>
        <w:ind w:firstLine="225"/>
        <w:jc w:val="both"/>
      </w:pPr>
      <w:r>
        <w:t>9.3. К заключению прилагаются все необходимые материалы диагностирования в соот</w:t>
      </w:r>
      <w:r>
        <w:t>ветствии с п. 9.1.</w:t>
      </w:r>
    </w:p>
    <w:p w:rsidR="00000000" w:rsidRDefault="001F7D5C">
      <w:pPr>
        <w:ind w:firstLine="225"/>
        <w:jc w:val="both"/>
      </w:pPr>
      <w:r>
        <w:t>9.4. Оформленное заключение подписывается исполнителями и утверждается руководителем организации, проводившей диагностирование.</w:t>
      </w:r>
    </w:p>
    <w:p w:rsidR="00000000" w:rsidRDefault="001F7D5C">
      <w:pPr>
        <w:ind w:firstLine="225"/>
        <w:jc w:val="both"/>
      </w:pPr>
      <w:r>
        <w:t xml:space="preserve">9.5. Заключение прилагается к паспорту резервуара. Его копия хранится в организации, проводившей техническое </w:t>
      </w:r>
      <w:r>
        <w:t>диагностирование.</w:t>
      </w:r>
    </w:p>
    <w:p w:rsidR="00000000" w:rsidRDefault="001F7D5C">
      <w:pPr>
        <w:ind w:firstLine="225"/>
        <w:jc w:val="both"/>
      </w:pPr>
      <w:r>
        <w:t>9.6. Если при техническом диагностировании будет установлено, что возникновение дефектов связано с режимом эксплуатации резервуаров или их конструктивными особенностями, то организация, проводившая техническое диагностирование, должна уве</w:t>
      </w:r>
      <w:r>
        <w:t xml:space="preserve">домить об этом с представлением материалов обследования специализированную организацию (Приложение 1), </w:t>
      </w:r>
      <w:r>
        <w:lastRenderedPageBreak/>
        <w:t>которая составляет заключение с рекомендациями по обследованию всех резервуаров данной конструкции на этом и других предприятиях.</w:t>
      </w: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jc w:val="right"/>
      </w:pPr>
      <w:r>
        <w:t>Приложение 1</w:t>
      </w:r>
    </w:p>
    <w:p w:rsidR="00000000" w:rsidRDefault="001F7D5C">
      <w:pPr>
        <w:jc w:val="right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</w:t>
      </w:r>
      <w:r>
        <w:rPr>
          <w:rFonts w:ascii="Times New Roman" w:hAnsi="Times New Roman"/>
          <w:sz w:val="20"/>
        </w:rPr>
        <w:t>изированные научно-исследовательские экспертные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организации по стальным вертикальным цилиндрическим резервуарам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нефти и нефтепродуктов вместимостью от 100 до 50000 м</w:t>
      </w:r>
      <w:r>
        <w:rPr>
          <w:rFonts w:ascii="Times New Roman" w:hAnsi="Times New Roman"/>
          <w:sz w:val="20"/>
          <w:vertAlign w:val="superscript"/>
        </w:rPr>
        <w:t>3</w:t>
      </w:r>
    </w:p>
    <w:p w:rsidR="00000000" w:rsidRDefault="001F7D5C">
      <w:pPr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694"/>
        <w:gridCol w:w="2620"/>
        <w:gridCol w:w="31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>Специализация</w:t>
            </w:r>
          </w:p>
          <w:p w:rsidR="00000000" w:rsidRDefault="001F7D5C">
            <w:pPr>
              <w:jc w:val="center"/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 xml:space="preserve">Организация 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 xml:space="preserve">Адрес, телефон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both"/>
            </w:pPr>
            <w:r>
              <w:t>Исследования, расчеты и проектирование,</w:t>
            </w:r>
            <w:r>
              <w:t xml:space="preserve"> технология изготовления и монтажа, ремонта и реконструкции резервуаров, диагностика, испытания, металловедение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both"/>
            </w:pPr>
            <w:r>
              <w:t>Институт по монтажным и специальным строительным работам АО “ВНИИМонтажспецстрой”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both"/>
            </w:pPr>
            <w:r>
              <w:t xml:space="preserve">Россия, 111141, г. Москва, </w:t>
            </w:r>
          </w:p>
          <w:p w:rsidR="00000000" w:rsidRDefault="001F7D5C">
            <w:pPr>
              <w:jc w:val="both"/>
            </w:pPr>
            <w:r>
              <w:t>2-й проезд Перова поля, дом 9</w:t>
            </w:r>
          </w:p>
          <w:p w:rsidR="00000000" w:rsidRDefault="001F7D5C">
            <w:pPr>
              <w:jc w:val="both"/>
            </w:pPr>
            <w:r>
              <w:t>тел.</w:t>
            </w:r>
            <w:r>
              <w:t xml:space="preserve"> 306-25-26</w:t>
            </w:r>
          </w:p>
          <w:p w:rsidR="00000000" w:rsidRDefault="001F7D5C">
            <w:pPr>
              <w:jc w:val="both"/>
            </w:pPr>
            <w:r>
              <w:t xml:space="preserve">факс (095) 305-58-50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both"/>
            </w:pPr>
            <w:r>
              <w:t xml:space="preserve">Диагностика, исследования материалов и поверочный расчет на прочность, испытания и технология ремонта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both"/>
            </w:pPr>
            <w:r>
              <w:t>ЗАО “АП Контакт Лтд”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both"/>
            </w:pPr>
            <w:r>
              <w:t>Россия, 127247, г. Москва, Дмитровское шоссе, д. 107</w:t>
            </w:r>
          </w:p>
          <w:p w:rsidR="00000000" w:rsidRDefault="001F7D5C">
            <w:pPr>
              <w:jc w:val="both"/>
            </w:pPr>
            <w:r>
              <w:t>тел. 485-65-90</w:t>
            </w:r>
          </w:p>
          <w:p w:rsidR="00000000" w:rsidRDefault="001F7D5C">
            <w:pPr>
              <w:jc w:val="both"/>
            </w:pPr>
            <w:r>
              <w:t>факс (095) 485-55-45</w:t>
            </w:r>
          </w:p>
          <w:p w:rsidR="00000000" w:rsidRDefault="001F7D5C">
            <w:pPr>
              <w:jc w:val="both"/>
            </w:pPr>
          </w:p>
        </w:tc>
      </w:tr>
    </w:tbl>
    <w:p w:rsidR="00000000" w:rsidRDefault="001F7D5C">
      <w:pPr>
        <w:jc w:val="center"/>
      </w:pPr>
    </w:p>
    <w:p w:rsidR="00000000" w:rsidRDefault="001F7D5C">
      <w:pPr>
        <w:jc w:val="center"/>
      </w:pPr>
    </w:p>
    <w:p w:rsidR="00000000" w:rsidRDefault="001F7D5C">
      <w:pPr>
        <w:jc w:val="right"/>
      </w:pPr>
      <w:r>
        <w:t>Прило</w:t>
      </w:r>
      <w:r>
        <w:t>жение 2</w:t>
      </w:r>
    </w:p>
    <w:p w:rsidR="00000000" w:rsidRDefault="001F7D5C">
      <w:pPr>
        <w:jc w:val="right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Организации, имеющие лицензии Госгортехнадзора на диагностирование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резервуаров </w:t>
      </w:r>
    </w:p>
    <w:p w:rsidR="00000000" w:rsidRDefault="001F7D5C">
      <w:pPr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50"/>
        <w:gridCol w:w="2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 xml:space="preserve">Наименование организации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>Город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 xml:space="preserve">ВНИПИНЕФТЬ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>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 xml:space="preserve">ЦКБН </w:t>
            </w: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>Подольск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 xml:space="preserve">НИИХИММАШ </w:t>
            </w: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>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 xml:space="preserve">ВНИИНЕФТЕМАШ </w:t>
            </w:r>
          </w:p>
        </w:tc>
        <w:tc>
          <w:tcPr>
            <w:tcW w:w="2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7D5C">
            <w:pPr>
              <w:jc w:val="center"/>
            </w:pPr>
            <w:r>
              <w:t>Москва</w:t>
            </w:r>
          </w:p>
        </w:tc>
      </w:tr>
    </w:tbl>
    <w:p w:rsidR="00000000" w:rsidRDefault="001F7D5C">
      <w:pPr>
        <w:jc w:val="right"/>
      </w:pPr>
    </w:p>
    <w:p w:rsidR="00000000" w:rsidRDefault="001F7D5C">
      <w:pPr>
        <w:jc w:val="right"/>
      </w:pPr>
    </w:p>
    <w:p w:rsidR="00000000" w:rsidRDefault="001F7D5C">
      <w:pPr>
        <w:jc w:val="right"/>
      </w:pPr>
      <w:r>
        <w:t>Приложение 3</w:t>
      </w:r>
    </w:p>
    <w:p w:rsidR="00000000" w:rsidRDefault="001F7D5C">
      <w:pPr>
        <w:jc w:val="right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Типовая программа полного технического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 xml:space="preserve">иагностирования резервуара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Полное обследование резервуара предусматривает выполнение следующих работ:</w:t>
      </w:r>
    </w:p>
    <w:p w:rsidR="00000000" w:rsidRDefault="001F7D5C">
      <w:pPr>
        <w:ind w:firstLine="225"/>
        <w:jc w:val="both"/>
      </w:pPr>
      <w:r>
        <w:t>- ознакомление с эксплуатационно-технической документацией на резервуар;</w:t>
      </w:r>
    </w:p>
    <w:p w:rsidR="00000000" w:rsidRDefault="001F7D5C">
      <w:pPr>
        <w:ind w:firstLine="225"/>
        <w:jc w:val="both"/>
      </w:pPr>
      <w:r>
        <w:t>- визуальный осмотр всех конструкций резервуара, включая сварные соединения;</w:t>
      </w:r>
    </w:p>
    <w:p w:rsidR="00000000" w:rsidRDefault="001F7D5C">
      <w:pPr>
        <w:ind w:firstLine="225"/>
        <w:jc w:val="both"/>
      </w:pPr>
      <w:r>
        <w:t xml:space="preserve">- </w:t>
      </w:r>
      <w:r>
        <w:t>измерение фактических толщин элементов резервуара;</w:t>
      </w:r>
    </w:p>
    <w:p w:rsidR="00000000" w:rsidRDefault="001F7D5C">
      <w:pPr>
        <w:ind w:firstLine="225"/>
        <w:jc w:val="both"/>
      </w:pPr>
      <w:r>
        <w:t>- измерение геометрической формы стенки и нивелирование днища;</w:t>
      </w:r>
    </w:p>
    <w:p w:rsidR="00000000" w:rsidRDefault="001F7D5C">
      <w:pPr>
        <w:ind w:firstLine="225"/>
        <w:jc w:val="both"/>
      </w:pPr>
      <w:r>
        <w:t>- контроль сварных соединений стенки неразрушающими методами (при необходимости);</w:t>
      </w:r>
    </w:p>
    <w:p w:rsidR="00000000" w:rsidRDefault="001F7D5C">
      <w:pPr>
        <w:ind w:firstLine="225"/>
        <w:jc w:val="both"/>
      </w:pPr>
      <w:r>
        <w:t>- исследование химического состава, механических свойств мет</w:t>
      </w:r>
      <w:r>
        <w:t>аллов и сварных соединений и их структуры (при необходимости);</w:t>
      </w:r>
    </w:p>
    <w:p w:rsidR="00000000" w:rsidRDefault="001F7D5C">
      <w:pPr>
        <w:ind w:firstLine="225"/>
        <w:jc w:val="both"/>
      </w:pPr>
      <w:r>
        <w:t>- проверку состояния основания и отмостки;</w:t>
      </w:r>
    </w:p>
    <w:p w:rsidR="00000000" w:rsidRDefault="001F7D5C">
      <w:pPr>
        <w:ind w:firstLine="225"/>
        <w:jc w:val="both"/>
      </w:pPr>
      <w:r>
        <w:t>- поверочные расчеты конструкции резервуаров (при необходимости);</w:t>
      </w:r>
    </w:p>
    <w:p w:rsidR="00000000" w:rsidRDefault="001F7D5C">
      <w:pPr>
        <w:ind w:firstLine="225"/>
        <w:jc w:val="both"/>
      </w:pPr>
      <w:r>
        <w:t>- анализ состояния резервуара, разработка рекомендаций по их дальнейшей эксплуатации</w:t>
      </w:r>
      <w:r>
        <w:t>, ремонту или исключению из эксплуатации.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ОЗНАКОМЛЕНИЕ С ЭКСПЛУАТАЦИОННО-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ТЕХНИЧЕСКОЙ ДОКУМЕНТАЦИЕЙ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lastRenderedPageBreak/>
        <w:t>При ознакомлении с технической документацией устанавливается ее комплектность и собираются следующие сведения:</w:t>
      </w:r>
    </w:p>
    <w:p w:rsidR="00000000" w:rsidRDefault="001F7D5C">
      <w:pPr>
        <w:ind w:firstLine="225"/>
        <w:jc w:val="both"/>
      </w:pPr>
      <w:r>
        <w:t>- технические характеристики резервуара</w:t>
      </w:r>
      <w:r>
        <w:t xml:space="preserve"> - тип, высота, диаметр, вместимость и т.п.;</w:t>
      </w:r>
    </w:p>
    <w:p w:rsidR="00000000" w:rsidRDefault="001F7D5C">
      <w:pPr>
        <w:ind w:firstLine="225"/>
        <w:jc w:val="both"/>
      </w:pPr>
      <w:r>
        <w:t>- данные по изготовлению и монтажу резервуаров - номер проекта, завод-изготовитель, монтажная организация, дата изготовления и монтажа, отступления от проекта в процессе сооружения, виды и результаты испытаний;</w:t>
      </w:r>
    </w:p>
    <w:p w:rsidR="00000000" w:rsidRDefault="001F7D5C">
      <w:pPr>
        <w:ind w:firstLine="225"/>
        <w:jc w:val="both"/>
      </w:pPr>
      <w:r>
        <w:t>- сведения о металле, толщина листов по сертификату;</w:t>
      </w:r>
    </w:p>
    <w:p w:rsidR="00000000" w:rsidRDefault="001F7D5C">
      <w:pPr>
        <w:ind w:firstLine="225"/>
        <w:jc w:val="both"/>
      </w:pPr>
      <w:r>
        <w:t>- сведения о технологии сварки и сварочных материалах;</w:t>
      </w:r>
    </w:p>
    <w:p w:rsidR="00000000" w:rsidRDefault="001F7D5C">
      <w:pPr>
        <w:ind w:firstLine="225"/>
        <w:jc w:val="both"/>
      </w:pPr>
      <w:r>
        <w:t>- данные о режиме эксплуатации резервуара и вида хранимых в нем продуктов;</w:t>
      </w:r>
    </w:p>
    <w:p w:rsidR="00000000" w:rsidRDefault="001F7D5C">
      <w:pPr>
        <w:ind w:firstLine="225"/>
        <w:jc w:val="both"/>
      </w:pPr>
      <w:r>
        <w:t>- данные о проведенных ранее обследованиях с заключениями о техническом с</w:t>
      </w:r>
      <w:r>
        <w:t>остоянии и рекомендациями по дальнейшей эксплуатации или ремонту;</w:t>
      </w:r>
    </w:p>
    <w:p w:rsidR="00000000" w:rsidRDefault="001F7D5C">
      <w:pPr>
        <w:ind w:firstLine="225"/>
        <w:jc w:val="both"/>
      </w:pPr>
      <w:r>
        <w:t>- данные о проведенных ремонтах.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ВИЗУАЛЬНЫЙ ОСМОТР КОНСТРУКЦИЙ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При визуальном осмотре обязательной проверке подлежат:</w:t>
      </w:r>
    </w:p>
    <w:p w:rsidR="00000000" w:rsidRDefault="001F7D5C">
      <w:pPr>
        <w:ind w:firstLine="225"/>
        <w:jc w:val="both"/>
      </w:pPr>
      <w:r>
        <w:t>- состояние основного металла стенки, днища, настила и несущих эле</w:t>
      </w:r>
      <w:r>
        <w:t>ментов кровли, понтона (плавающей крыши) с установлением наличия коррозионных повреждений, царапин, задиров, трещин, прожогов, оплавлений, вырывов, расслоений, металлических включений, закатов и пр.;</w:t>
      </w:r>
    </w:p>
    <w:p w:rsidR="00000000" w:rsidRDefault="001F7D5C">
      <w:pPr>
        <w:ind w:firstLine="225"/>
        <w:jc w:val="both"/>
      </w:pPr>
      <w:r>
        <w:t>- общие и местные деформации, вмятины, выпучины на конст</w:t>
      </w:r>
      <w:r>
        <w:t>рукциях;</w:t>
      </w:r>
    </w:p>
    <w:p w:rsidR="00000000" w:rsidRDefault="001F7D5C">
      <w:pPr>
        <w:ind w:firstLine="225"/>
        <w:jc w:val="both"/>
      </w:pPr>
      <w:r>
        <w:t>- размещение патрубков на стенке резервуаров по отношению к вертикальным и горизонтальным сварным соединениям в соответствии с требованиями проекта;</w:t>
      </w:r>
    </w:p>
    <w:p w:rsidR="00000000" w:rsidRDefault="001F7D5C">
      <w:pPr>
        <w:ind w:firstLine="225"/>
        <w:jc w:val="both"/>
      </w:pPr>
      <w:r>
        <w:t>- состояние уплотнения между понтоном (плавающей крышей) и стенкой резервуара;</w:t>
      </w:r>
    </w:p>
    <w:p w:rsidR="00000000" w:rsidRDefault="001F7D5C">
      <w:pPr>
        <w:ind w:firstLine="225"/>
        <w:jc w:val="both"/>
      </w:pPr>
      <w:r>
        <w:t>- состояние сварных</w:t>
      </w:r>
      <w:r>
        <w:t xml:space="preserve"> соединений конструкций резервуаров в соответствии с требованиями проекта, СНиП 3.03.01-87, стандартов на соответствующие виды сварки и типы сварных швов.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ИЗМЕРЕНИЕ ФАКТИЧЕСКИХ ТОЛЩИН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ЭЛЕМЕНТОВ РЕЗЕРВУАРА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Определение толщины металла производится толщ</w:t>
      </w:r>
      <w:r>
        <w:t>иномерами типа УТ-93П, УТ-80-81М и др., позволяющими измерять толщину в интервале 0.2-50.0 мм с точностью 0.1 мм при температуре окружающего воздуха от -10 до + 40С.</w:t>
      </w:r>
    </w:p>
    <w:p w:rsidR="00000000" w:rsidRDefault="001F7D5C">
      <w:pPr>
        <w:ind w:firstLine="225"/>
        <w:jc w:val="both"/>
      </w:pPr>
      <w:r>
        <w:t>В доступных местах возможны прямые измерения толщины металла штангенциркулем.</w:t>
      </w:r>
    </w:p>
    <w:p w:rsidR="00000000" w:rsidRDefault="001F7D5C">
      <w:pPr>
        <w:ind w:firstLine="225"/>
        <w:jc w:val="both"/>
      </w:pPr>
      <w:r>
        <w:t xml:space="preserve">Объем работ </w:t>
      </w:r>
      <w:r>
        <w:t>по измерениям толщин устанавливается на основании результатов внешнего осмотра резервуара в зависимости от длительности эксплуатации и агрессивности хранимого продукта. Во всех случаях измерения проводятся в местах, наиболее пораженных коррозией.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ИЗМЕР</w:t>
      </w:r>
      <w:r>
        <w:rPr>
          <w:rFonts w:ascii="Times New Roman" w:hAnsi="Times New Roman"/>
          <w:sz w:val="20"/>
        </w:rPr>
        <w:t>ЕНИЯ ГЕОМЕТРИЧЕСКОЙ ФОРМЫ СТЕНКИ И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НИВЕЛИРОВАНИЯ ДНИЩА РЕЗЕРВУАРА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Для выявления действительной геометрической формы резервуара и определения величины отклонений от требований нормативно-технической документации измеряется величина отклонений стенки на ур</w:t>
      </w:r>
      <w:r>
        <w:t>овне верха каждого пояса от вертикали. Измерения производятся в наиболее деформированных местах стенок (по результатам внешнего осмотра), при помощи шаблонов, отвесов и геодезическими методами.</w:t>
      </w:r>
    </w:p>
    <w:p w:rsidR="00000000" w:rsidRDefault="001F7D5C">
      <w:pPr>
        <w:ind w:firstLine="225"/>
        <w:jc w:val="both"/>
      </w:pPr>
      <w:r>
        <w:t>Величина неравномерной осадки наружного контура днища определя</w:t>
      </w:r>
      <w:r>
        <w:t>ется путем нивелирования в точках, соответствующих вертикальным стыкам первого пояса не реже, чем через 6 метров, начиная от приемно-раздаточного патрубка с нумерацией по часовой стрелке.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КОНТРОЛЬ СВАРНЫХ СОЕДИНЕНИЙ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Проведение предварительного контро</w:t>
      </w:r>
      <w:r>
        <w:t>ля сварных соединений осуществляется визуальным методом с инструментальным замером параметров швов.</w:t>
      </w:r>
    </w:p>
    <w:p w:rsidR="00000000" w:rsidRDefault="001F7D5C">
      <w:pPr>
        <w:ind w:firstLine="225"/>
        <w:jc w:val="both"/>
      </w:pPr>
      <w:r>
        <w:t>Внешний осмотр и измерения геометрических размеров с помощью шаблонов производятся с целью выявления наружных дефектов: несоответствия размеров швов требова</w:t>
      </w:r>
      <w:r>
        <w:t>ниям проекта, СНиП 3.03.01-87 и стандартов; трещин всех видов и направлений; наплывов, подрезов, прожогов, незаваренных кратеров, непроваров, пористости; отсутствия плавных переходов от одного сечения к другому; несоответствия общих геометрических размеров</w:t>
      </w:r>
      <w:r>
        <w:t xml:space="preserve"> сварного узла требованиям проекта.</w:t>
      </w:r>
    </w:p>
    <w:p w:rsidR="00000000" w:rsidRDefault="001F7D5C">
      <w:pPr>
        <w:ind w:firstLine="225"/>
        <w:jc w:val="both"/>
      </w:pPr>
      <w:r>
        <w:lastRenderedPageBreak/>
        <w:t>По результатам предварительного контроля, при необходимости, возможно выполнение контроля неразрушающими методами:</w:t>
      </w:r>
    </w:p>
    <w:p w:rsidR="00000000" w:rsidRDefault="001F7D5C">
      <w:pPr>
        <w:ind w:firstLine="225"/>
        <w:jc w:val="both"/>
      </w:pPr>
      <w:r>
        <w:t>- ультразвуковым, магнитопорошковым, рентгеновским и др.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ИССЛЕДОВАНИЕ МЕТАЛЛА И СВАРНЫХ СОЕДИНЕНИЙ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Механические испытания, химический анализ и металлографические исследования металла и сварных соединений проводятся при отсутствии данных о первоначальных свойствах основного металла и сварных соединений, значительных коррозионных повреждений, появлении тр</w:t>
      </w:r>
      <w:r>
        <w:t xml:space="preserve">ещин в различных конструкциях и в других случаях, когда предполагаются ухудшения механических свойств, усталость при действии переменных или знакопеременных нагрузок, перегревы, действие чрезмерно высоких нагрузок и т.п. </w:t>
      </w:r>
    </w:p>
    <w:p w:rsidR="00000000" w:rsidRDefault="001F7D5C">
      <w:pPr>
        <w:ind w:firstLine="225"/>
        <w:jc w:val="both"/>
      </w:pPr>
      <w:r>
        <w:t>Для проведения испытаний вырезаютс</w:t>
      </w:r>
      <w:r>
        <w:t>я круглые пластины диаметром 300 мм с вертикальным швом из одного или нескольких поясов стенки резервуара с таким расчетом, чтобы это место можно было безопасно и надежно отремонтировать с помощью сварки.</w:t>
      </w:r>
    </w:p>
    <w:p w:rsidR="00000000" w:rsidRDefault="001F7D5C">
      <w:pPr>
        <w:ind w:firstLine="225"/>
        <w:jc w:val="both"/>
      </w:pPr>
      <w:r>
        <w:t>Из пластины изготавливаются образцы для механически</w:t>
      </w:r>
      <w:r>
        <w:t>х испытаний, металлографических исследований основного металла и сварного соединения, берется стружка для химического анализа основного и наплавленного металла.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ПРОВЕРКИ СОСТОЯНИЯ ОСНОВАНИЯ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70"/>
        <w:jc w:val="both"/>
      </w:pPr>
      <w:r>
        <w:t>При контроле состояния основания и отмостки фиксируется:</w:t>
      </w:r>
    </w:p>
    <w:p w:rsidR="00000000" w:rsidRDefault="001F7D5C">
      <w:pPr>
        <w:ind w:firstLine="225"/>
        <w:jc w:val="both"/>
      </w:pPr>
      <w:r>
        <w:t>- н</w:t>
      </w:r>
      <w:r>
        <w:t>аличие пустот между днищем резервуара и основанием;</w:t>
      </w:r>
    </w:p>
    <w:p w:rsidR="00000000" w:rsidRDefault="001F7D5C">
      <w:pPr>
        <w:ind w:firstLine="225"/>
        <w:jc w:val="both"/>
      </w:pPr>
      <w:r>
        <w:t>- погружение нижней части основания резервуара в грунт и скопление воды по контуру резервуара;</w:t>
      </w:r>
    </w:p>
    <w:p w:rsidR="00000000" w:rsidRDefault="001F7D5C">
      <w:pPr>
        <w:ind w:firstLine="225"/>
        <w:jc w:val="both"/>
      </w:pPr>
      <w:r>
        <w:t>- наличие растительности на отмостке;</w:t>
      </w:r>
    </w:p>
    <w:p w:rsidR="00000000" w:rsidRDefault="001F7D5C">
      <w:pPr>
        <w:ind w:firstLine="225"/>
        <w:jc w:val="both"/>
      </w:pPr>
      <w:r>
        <w:t>- трещины и выбоины в отмостке и кольцевом лотке;</w:t>
      </w:r>
    </w:p>
    <w:p w:rsidR="00000000" w:rsidRDefault="001F7D5C">
      <w:pPr>
        <w:ind w:firstLine="225"/>
        <w:jc w:val="both"/>
      </w:pPr>
      <w:r>
        <w:t xml:space="preserve">- обеспечение отвода </w:t>
      </w:r>
      <w:r>
        <w:t>воды в сторону кольцевого лотка;</w:t>
      </w:r>
    </w:p>
    <w:p w:rsidR="00000000" w:rsidRDefault="001F7D5C">
      <w:pPr>
        <w:ind w:firstLine="225"/>
        <w:jc w:val="both"/>
      </w:pPr>
      <w:r>
        <w:t>- уклон отмостки, который не должен быть меньше 1 = 1:10.</w:t>
      </w: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ПРОВЕРОЧНЫЕ РАСЧЕТЫ КОНСТРУКЦИЙ НА ПРОЧНОСТЬ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УСТОЙЧИВОСТЬ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25"/>
        <w:jc w:val="both"/>
      </w:pPr>
      <w:r>
        <w:t>Расчеты конструктивных элементов на прочность (в том числе с учетом сопротивления стали хрупкому раз</w:t>
      </w:r>
      <w:r>
        <w:t>рушению) и устойчивость производятся в случаях: отклонения фактических толщин от проектных; внесения при сооружении в конструкции изменений, не предусмотренных проектом; назначения сечений усиливающих элементов конструкций при разработке проектной документ</w:t>
      </w:r>
      <w:r>
        <w:t>ации на ремонт резервуара; оценки несущей способности конструкций с учетом реальной геометрической формы по результатам проведенных в ходе обследования измерений и др.</w:t>
      </w: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АНАЛИЗ РЕЗУЛЬТАТОВ ОБСЛЕДОВАНИЯ </w:t>
      </w:r>
    </w:p>
    <w:p w:rsidR="00000000" w:rsidRDefault="001F7D5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7D5C">
      <w:pPr>
        <w:ind w:firstLine="270"/>
        <w:jc w:val="both"/>
      </w:pPr>
      <w:r>
        <w:t>На основе анализа результатов обследования опреде</w:t>
      </w:r>
      <w:r>
        <w:t>ляется техническое состояние резервуара, составляется заключение с рекомендациями по дальнейшей эксплуатации, ремонту или исключению резервуара из эксплуатации.</w:t>
      </w:r>
    </w:p>
    <w:p w:rsidR="00000000" w:rsidRDefault="001F7D5C">
      <w:pPr>
        <w:ind w:firstLine="225"/>
        <w:jc w:val="both"/>
      </w:pPr>
      <w:r>
        <w:t>Оценка технического состояния резервуаров производится по всем результатам обследования. Для ре</w:t>
      </w:r>
      <w:r>
        <w:t>зервуаров, отработавших установленный срок эксплуатации, определяется вероятный остаточный ресурс работоспособности. Заключение по содержанию и форме составляется в соответствии с требованиями раздела 9 настоящего положения.</w:t>
      </w:r>
    </w:p>
    <w:p w:rsidR="00000000" w:rsidRDefault="001F7D5C">
      <w:pPr>
        <w:ind w:firstLine="225"/>
        <w:jc w:val="both"/>
        <w:rPr>
          <w:lang w:val="en-US"/>
        </w:rPr>
      </w:pP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ind w:firstLine="225"/>
        <w:jc w:val="both"/>
      </w:pPr>
    </w:p>
    <w:p w:rsidR="00000000" w:rsidRDefault="001F7D5C">
      <w:pPr>
        <w:ind w:firstLine="284"/>
        <w:jc w:val="right"/>
        <w:rPr>
          <w:color w:val="000000"/>
        </w:rPr>
      </w:pPr>
      <w:r>
        <w:rPr>
          <w:color w:val="000000"/>
        </w:rPr>
        <w:lastRenderedPageBreak/>
        <w:t>Приложение 4</w:t>
      </w:r>
    </w:p>
    <w:p w:rsidR="00000000" w:rsidRDefault="001F7D5C">
      <w:pPr>
        <w:ind w:firstLine="284"/>
        <w:jc w:val="right"/>
        <w:rPr>
          <w:color w:val="000000"/>
        </w:rPr>
      </w:pP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Требовани</w:t>
      </w:r>
      <w:r>
        <w:rPr>
          <w:rFonts w:ascii="Times New Roman" w:hAnsi="Times New Roman"/>
          <w:color w:val="000000"/>
          <w:sz w:val="20"/>
        </w:rPr>
        <w:t>я к геометрической форме смонтированных резервуаров</w:t>
      </w: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</w:p>
    <w:p w:rsidR="00000000" w:rsidRDefault="001F7D5C">
      <w:pPr>
        <w:ind w:firstLine="284"/>
        <w:jc w:val="right"/>
        <w:rPr>
          <w:color w:val="000000"/>
        </w:rPr>
      </w:pPr>
      <w:r>
        <w:rPr>
          <w:color w:val="000000"/>
        </w:rPr>
        <w:t>Таблица П 4.1</w:t>
      </w:r>
    </w:p>
    <w:p w:rsidR="00000000" w:rsidRDefault="001F7D5C">
      <w:pPr>
        <w:ind w:firstLine="284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Предельные отклонения от вертикали образующих </w:t>
      </w: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стенок резервуаров (табл.20 СНиП 3.03.01-87)</w:t>
      </w: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427"/>
        <w:gridCol w:w="427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20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резервуара,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Предельные отклонения от вертикали образующих стенки, мм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Контроль(м</w:t>
            </w:r>
            <w:r>
              <w:rPr>
                <w:color w:val="000000"/>
              </w:rPr>
              <w:t>етод, 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</w:p>
        </w:tc>
        <w:tc>
          <w:tcPr>
            <w:tcW w:w="52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Номера поясов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XI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XII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100-700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Измерительный, каждый резервуар;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1000-5000</w:t>
            </w:r>
          </w:p>
        </w:tc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геодезическая исполнительная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10000-20000</w:t>
            </w:r>
          </w:p>
        </w:tc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схема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30000-50000</w:t>
            </w:r>
          </w:p>
        </w:tc>
        <w:tc>
          <w:tcPr>
            <w:tcW w:w="4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000000" w:rsidRDefault="001F7D5C">
      <w:pPr>
        <w:ind w:firstLine="284"/>
        <w:jc w:val="both"/>
        <w:rPr>
          <w:color w:val="000000"/>
        </w:rPr>
      </w:pPr>
    </w:p>
    <w:p w:rsidR="00000000" w:rsidRDefault="001F7D5C">
      <w:pPr>
        <w:ind w:firstLine="284"/>
        <w:jc w:val="both"/>
        <w:rPr>
          <w:color w:val="000000"/>
          <w:sz w:val="18"/>
        </w:rPr>
      </w:pPr>
      <w:r>
        <w:rPr>
          <w:color w:val="000000"/>
          <w:sz w:val="18"/>
        </w:rPr>
        <w:t>Примечания:</w:t>
      </w:r>
    </w:p>
    <w:p w:rsidR="00000000" w:rsidRDefault="001F7D5C">
      <w:pPr>
        <w:ind w:firstLine="284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1. Предельные отклонения даны для стенок из листов шириной 1,5 м. В случае применения листов другой ширины предельные отклонения образующих стенки </w:t>
      </w:r>
      <w:r>
        <w:rPr>
          <w:color w:val="000000"/>
          <w:sz w:val="18"/>
        </w:rPr>
        <w:t>от вертикали на уровне всех промежуточных поясов следует определять интерполяцией.</w:t>
      </w:r>
    </w:p>
    <w:p w:rsidR="00000000" w:rsidRDefault="001F7D5C">
      <w:pPr>
        <w:ind w:firstLine="284"/>
        <w:jc w:val="both"/>
        <w:rPr>
          <w:color w:val="000000"/>
          <w:sz w:val="18"/>
        </w:rPr>
      </w:pPr>
      <w:r>
        <w:rPr>
          <w:color w:val="000000"/>
          <w:sz w:val="18"/>
        </w:rPr>
        <w:t>2. Измерения следует производить для каждого пояса на расстоянии до 50 мм от верхнего горизонтального шва по вертикалям, расположенным в местах вертикальных швов стенки (в п</w:t>
      </w:r>
      <w:r>
        <w:rPr>
          <w:color w:val="000000"/>
          <w:sz w:val="18"/>
        </w:rPr>
        <w:t>олистовых - нижнего пояса стенки).</w:t>
      </w:r>
    </w:p>
    <w:p w:rsidR="00000000" w:rsidRDefault="001F7D5C">
      <w:pPr>
        <w:ind w:firstLine="284"/>
        <w:jc w:val="both"/>
        <w:rPr>
          <w:color w:val="000000"/>
          <w:sz w:val="18"/>
        </w:rPr>
      </w:pPr>
      <w:r>
        <w:rPr>
          <w:color w:val="000000"/>
          <w:sz w:val="18"/>
        </w:rPr>
        <w:t>3. Отклонения надлежит проверять не реже чем через 6 м по окружности резервуара.</w:t>
      </w:r>
    </w:p>
    <w:p w:rsidR="00000000" w:rsidRDefault="001F7D5C">
      <w:pPr>
        <w:ind w:firstLine="284"/>
        <w:jc w:val="both"/>
        <w:rPr>
          <w:color w:val="000000"/>
          <w:sz w:val="18"/>
        </w:rPr>
      </w:pPr>
      <w:r>
        <w:rPr>
          <w:color w:val="000000"/>
          <w:sz w:val="18"/>
        </w:rPr>
        <w:t>4. Указанные в таблице отклонения должны удовлетворять 75% произведенных замеров по образующим. Для остальных 25% замеров допускаются предел</w:t>
      </w:r>
      <w:r>
        <w:rPr>
          <w:color w:val="000000"/>
          <w:sz w:val="18"/>
        </w:rPr>
        <w:t>ьные отклонения на 30% больше с учетом их местного характера. При этом зазор между стенкой резервуара и плавающей крышей (понтоном) должен находиться в пределах, обеспечиваемых конструкцией затвора.</w:t>
      </w:r>
    </w:p>
    <w:p w:rsidR="00000000" w:rsidRDefault="001F7D5C">
      <w:pPr>
        <w:ind w:firstLine="284"/>
        <w:jc w:val="right"/>
        <w:rPr>
          <w:color w:val="000000"/>
        </w:rPr>
      </w:pPr>
    </w:p>
    <w:p w:rsidR="00000000" w:rsidRDefault="001F7D5C">
      <w:pPr>
        <w:ind w:firstLine="284"/>
        <w:jc w:val="right"/>
        <w:rPr>
          <w:color w:val="000000"/>
        </w:rPr>
      </w:pPr>
      <w:r>
        <w:rPr>
          <w:color w:val="000000"/>
        </w:rPr>
        <w:t xml:space="preserve">Таблица П 4.2 </w:t>
      </w: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Допускаемые стрелы прогиба выпучин или в</w:t>
      </w:r>
      <w:r>
        <w:rPr>
          <w:rFonts w:ascii="Times New Roman" w:hAnsi="Times New Roman"/>
          <w:color w:val="000000"/>
          <w:sz w:val="20"/>
        </w:rPr>
        <w:t xml:space="preserve">мятин на поверхности стенки вдоль образующей, ±мм </w:t>
      </w:r>
    </w:p>
    <w:p w:rsidR="00000000" w:rsidRDefault="001F7D5C">
      <w:pPr>
        <w:ind w:firstLine="284"/>
        <w:jc w:val="both"/>
        <w:rPr>
          <w:color w:val="000000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4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Расстояние от нижнего до верхнего края выпучины или вмятины, мм.</w:t>
            </w:r>
          </w:p>
        </w:tc>
        <w:tc>
          <w:tcPr>
            <w:tcW w:w="4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Допускаемая величина стрелы прогиба выпучины или вмятины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До 1500 включительно</w:t>
            </w:r>
          </w:p>
        </w:tc>
        <w:tc>
          <w:tcPr>
            <w:tcW w:w="4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Свыше 1500 до 3000 включительно</w:t>
            </w: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Свыше 3000 до 4500 в</w:t>
            </w:r>
            <w:r>
              <w:rPr>
                <w:color w:val="000000"/>
              </w:rPr>
              <w:t>ключительно</w:t>
            </w: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</w:tbl>
    <w:p w:rsidR="00000000" w:rsidRDefault="001F7D5C">
      <w:pPr>
        <w:ind w:firstLine="284"/>
        <w:jc w:val="center"/>
        <w:rPr>
          <w:color w:val="000000"/>
        </w:rPr>
      </w:pPr>
    </w:p>
    <w:p w:rsidR="00000000" w:rsidRDefault="001F7D5C">
      <w:pPr>
        <w:ind w:firstLine="284"/>
        <w:jc w:val="right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Таблица П 4.3</w:t>
      </w: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Предельные отклонения наружного контура днищ резервуаров </w:t>
      </w: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(табл.19 СНиП 3.03.01-87) </w:t>
      </w:r>
    </w:p>
    <w:p w:rsidR="00000000" w:rsidRDefault="001F7D5C">
      <w:pPr>
        <w:ind w:firstLine="284"/>
        <w:jc w:val="both"/>
        <w:rPr>
          <w:color w:val="000000"/>
        </w:rPr>
      </w:pPr>
    </w:p>
    <w:tbl>
      <w:tblPr>
        <w:tblW w:w="5000" w:type="pct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295"/>
        <w:gridCol w:w="1221"/>
        <w:gridCol w:w="1387"/>
        <w:gridCol w:w="1444"/>
        <w:gridCol w:w="1330"/>
        <w:gridCol w:w="1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</w:t>
            </w:r>
          </w:p>
        </w:tc>
        <w:tc>
          <w:tcPr>
            <w:tcW w:w="54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Разность отметок наружного контура днища, мм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 (метод,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резервуара,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незаполненном резервуаре</w:t>
            </w:r>
          </w:p>
        </w:tc>
        <w:tc>
          <w:tcPr>
            <w:tcW w:w="2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заполненном резерв</w:t>
            </w:r>
            <w:r>
              <w:rPr>
                <w:color w:val="000000"/>
              </w:rPr>
              <w:t>уаре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объем, 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смежных точек на расстоянии</w:t>
            </w:r>
          </w:p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м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любых других точек по периметру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смежных точек на расстоянии</w:t>
            </w:r>
          </w:p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м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любых других точек по периметру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менее 700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100-700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3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1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Измерительный, каждый резервуар;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1000-5000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3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геодезическая исполнительная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10000-20000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3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1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схема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  <w:r>
              <w:rPr>
                <w:color w:val="000000"/>
              </w:rPr>
              <w:t>30000-50000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1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F7D5C">
            <w:pPr>
              <w:rPr>
                <w:color w:val="000000"/>
              </w:rPr>
            </w:pPr>
          </w:p>
        </w:tc>
      </w:tr>
    </w:tbl>
    <w:p w:rsidR="00000000" w:rsidRDefault="001F7D5C">
      <w:pPr>
        <w:ind w:firstLine="284"/>
        <w:jc w:val="right"/>
        <w:rPr>
          <w:color w:val="000000"/>
        </w:rPr>
      </w:pPr>
    </w:p>
    <w:p w:rsidR="00000000" w:rsidRDefault="001F7D5C">
      <w:pPr>
        <w:ind w:firstLine="284"/>
        <w:jc w:val="right"/>
        <w:rPr>
          <w:color w:val="000000"/>
        </w:rPr>
      </w:pPr>
    </w:p>
    <w:p w:rsidR="00000000" w:rsidRDefault="001F7D5C">
      <w:pPr>
        <w:ind w:firstLine="284"/>
        <w:jc w:val="right"/>
        <w:rPr>
          <w:color w:val="000000"/>
        </w:rPr>
      </w:pPr>
      <w:r>
        <w:rPr>
          <w:color w:val="000000"/>
        </w:rPr>
        <w:t xml:space="preserve">Приложение 5 </w:t>
      </w: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Термины и определения </w:t>
      </w:r>
    </w:p>
    <w:p w:rsidR="00000000" w:rsidRDefault="001F7D5C">
      <w:pPr>
        <w:ind w:firstLine="284"/>
        <w:jc w:val="center"/>
        <w:rPr>
          <w:color w:val="000000"/>
        </w:rPr>
      </w:pPr>
      <w:r>
        <w:rPr>
          <w:color w:val="000000"/>
        </w:rPr>
        <w:t>(по ГОСТ 20911-89)</w:t>
      </w:r>
    </w:p>
    <w:p w:rsidR="00000000" w:rsidRDefault="001F7D5C">
      <w:pPr>
        <w:ind w:firstLine="284"/>
        <w:jc w:val="both"/>
        <w:rPr>
          <w:color w:val="000000"/>
        </w:rPr>
      </w:pP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1. Техническое состояние объекта - характеризуется в определенный момент времени,</w:t>
      </w:r>
      <w:r>
        <w:rPr>
          <w:color w:val="000000"/>
        </w:rPr>
        <w:t xml:space="preserve"> в определенной среде значениями параметров, установленными технической документацией на объект. 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2. Техническая диагностика - теория, методы и средства определения технического состояния объектов.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3. Техническое диагностирование - определение технического</w:t>
      </w:r>
      <w:r>
        <w:rPr>
          <w:color w:val="000000"/>
        </w:rPr>
        <w:t xml:space="preserve"> состояния объекта. 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Задачи технического диагностирования: контроль технического состояния; поиск места и определение причин отказа (неисправности); прогнозирование технического состояния.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Термин "Техническое диагностирование" применяют в наименованиях и о</w:t>
      </w:r>
      <w:r>
        <w:rPr>
          <w:color w:val="000000"/>
        </w:rPr>
        <w:t>пределениях понятий, когда решаемые задачи технического диагностирования равнозначны или основной задачей является поиск места и определение причин отказа (неисправности).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Термин "Контроль технического состояния" применяется, когда основной задачей техниче</w:t>
      </w:r>
      <w:r>
        <w:rPr>
          <w:color w:val="000000"/>
        </w:rPr>
        <w:t>ского диагностирования является определение вида технического состояния.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4. Контроль технического состояния - проверка соответствия значений параметров объекта требованиям технической документации и определение на этой основе одного из заданных видов техни</w:t>
      </w:r>
      <w:r>
        <w:rPr>
          <w:color w:val="000000"/>
        </w:rPr>
        <w:t xml:space="preserve">ческого состояния в данный момент. (Виды технического состояния: исправное, работоспособное, неисправное, неработоспособное и т.п. в зависимости от значений параметров в данный момент). 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5. Технический диагноз (результат контроля) - результат диагностирова</w:t>
      </w:r>
      <w:r>
        <w:rPr>
          <w:color w:val="000000"/>
        </w:rPr>
        <w:t>ния.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6. Средства технического диагностирования (контроля технического состояния) - аппаратура и программы, посредством которых осуществляется диагностирование (контроль).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7. Система технического диагностирования (контроля технического состояния) - совокупн</w:t>
      </w:r>
      <w:r>
        <w:rPr>
          <w:color w:val="000000"/>
        </w:rPr>
        <w:t>ость средств, объекта и исполнителей, необходимая для проведения диагностирования (контроля) по правилам, отраженным в технической документации.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8. Алгоритм технического диагностирования (контроля технического состояния) - совокупность предписаний, определ</w:t>
      </w:r>
      <w:r>
        <w:rPr>
          <w:color w:val="000000"/>
        </w:rPr>
        <w:t>яющих последовательность действий при диагностировании (контроле).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9. Диагностическое обеспечение - комплекс взаимоувязанных правил, методов, алгоритмов и средств, необходимых для осуществления диагностирования на всех этапах жизненного цикла объекта.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10. </w:t>
      </w:r>
      <w:r>
        <w:rPr>
          <w:color w:val="000000"/>
        </w:rPr>
        <w:t xml:space="preserve">Индивидуальная программа технического диагностирования - разрабатывается применительно к сосуду или группе сосудов одинаковой конструкции и работающих в </w:t>
      </w:r>
      <w:r>
        <w:rPr>
          <w:color w:val="000000"/>
        </w:rPr>
        <w:lastRenderedPageBreak/>
        <w:t>одинаковых условиях, учитывает конкретные условия эксплуатации, повреждения и выполненные ремонт или ре</w:t>
      </w:r>
      <w:r>
        <w:rPr>
          <w:color w:val="000000"/>
        </w:rPr>
        <w:t>конструкцию.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11. Предельное состояние - состояние объекта, при котором либо его дальнейшая эксплуатация, либо восстановление работоспособного состояния невозможны или нецелесообразны.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12. Наработка - продолжительность работы объекта, измеряемая в годах.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13</w:t>
      </w:r>
      <w:r>
        <w:rPr>
          <w:color w:val="000000"/>
        </w:rPr>
        <w:t>. Ресурс - суммарная наработка объекта от начала его эксплуатации или ее возобновления после ремонта до перехода в предельное состояние.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14. Срок службы - календарная продолжительность эксплуатации объекта до или после ремонта до перехода в предельное сост</w:t>
      </w:r>
      <w:r>
        <w:rPr>
          <w:color w:val="000000"/>
        </w:rPr>
        <w:t>ояние.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15. Остаточный ресурс - суммарная наработка объекта от момента контроля его технического состояния до перехода в предельное состояние.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16. Остаточный срок службы - календарная продолжительность эксплуатации объекта от момента контроля его техническо</w:t>
      </w:r>
      <w:r>
        <w:rPr>
          <w:color w:val="000000"/>
        </w:rPr>
        <w:t>го состояния до перехода в предельное состояние.</w:t>
      </w:r>
    </w:p>
    <w:p w:rsidR="00000000" w:rsidRDefault="001F7D5C">
      <w:pPr>
        <w:ind w:firstLine="284"/>
        <w:jc w:val="both"/>
        <w:rPr>
          <w:color w:val="000000"/>
        </w:rPr>
      </w:pPr>
    </w:p>
    <w:p w:rsidR="00000000" w:rsidRDefault="001F7D5C">
      <w:pPr>
        <w:ind w:firstLine="284"/>
        <w:jc w:val="both"/>
        <w:rPr>
          <w:color w:val="000000"/>
        </w:rPr>
      </w:pPr>
    </w:p>
    <w:p w:rsidR="00000000" w:rsidRDefault="001F7D5C">
      <w:pPr>
        <w:ind w:firstLine="284"/>
        <w:jc w:val="right"/>
        <w:rPr>
          <w:color w:val="000000"/>
        </w:rPr>
      </w:pPr>
      <w:r>
        <w:rPr>
          <w:color w:val="000000"/>
        </w:rPr>
        <w:t xml:space="preserve">Приложение 6 </w:t>
      </w: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Список использованной нормативно-технической литературы</w:t>
      </w:r>
    </w:p>
    <w:p w:rsidR="00000000" w:rsidRDefault="001F7D5C">
      <w:pPr>
        <w:pStyle w:val="Heading"/>
        <w:ind w:firstLine="284"/>
        <w:jc w:val="center"/>
        <w:rPr>
          <w:rFonts w:ascii="Times New Roman" w:hAnsi="Times New Roman"/>
          <w:color w:val="000000"/>
          <w:sz w:val="20"/>
        </w:rPr>
      </w:pP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1. СНиП III-18-75 “Металлические конструкции. Правила производства и приемки работ”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2. СНиП 3.03.01-87 “Несущие и ограждающие констру</w:t>
      </w:r>
      <w:r>
        <w:rPr>
          <w:color w:val="000000"/>
        </w:rPr>
        <w:t>кции. Правила производства и приемки работ”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3. “Правила технической эксплуатации резервуаров и инструкции по их ремонту” Москва, “Недра”, 1988 г.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4. ГОСТ 1497-84 “Металлы. Методы испытания на растяжение”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5. ГОСТ 9454-78 “Металлы. Методы испытания на ударны</w:t>
      </w:r>
      <w:r>
        <w:rPr>
          <w:color w:val="000000"/>
        </w:rPr>
        <w:t>й изгиб при пониженных, комнатных и повышенных температурах”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6. ГОСТ 22761-77 “Металлы и сплавы. Метод измерения твердости по Бриннелю переносными твердомерами статического действия”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7. ГОСТ 22762-77 “Металлы и сплавы. Метод измерения твердости на пределе </w:t>
      </w:r>
      <w:r>
        <w:rPr>
          <w:color w:val="000000"/>
        </w:rPr>
        <w:t>текучести вдавливанием шара”</w:t>
      </w:r>
    </w:p>
    <w:p w:rsidR="00000000" w:rsidRDefault="001F7D5C">
      <w:pPr>
        <w:ind w:firstLine="284"/>
        <w:jc w:val="both"/>
        <w:rPr>
          <w:color w:val="000000"/>
        </w:rPr>
      </w:pPr>
      <w:r>
        <w:rPr>
          <w:color w:val="000000"/>
        </w:rPr>
        <w:t>8. ГОСТ 6996-66 “Сварные соединения. Методы определения механических свойств”</w:t>
      </w:r>
    </w:p>
    <w:p w:rsidR="001F7D5C" w:rsidRDefault="001F7D5C">
      <w:pPr>
        <w:ind w:firstLine="284"/>
        <w:jc w:val="both"/>
      </w:pPr>
      <w:r>
        <w:rPr>
          <w:color w:val="000000"/>
        </w:rPr>
        <w:t>9. СНиП II-23-81* “Нормы проектирования. Стальные конструкции”</w:t>
      </w:r>
    </w:p>
    <w:sectPr w:rsidR="001F7D5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304F9"/>
    <w:rsid w:val="001F7D5C"/>
    <w:rsid w:val="0093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8431</Words>
  <Characters>48059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РД 08-95-95</vt:lpstr>
    </vt:vector>
  </TitlesOfParts>
  <Company>Служба НТИ</Company>
  <LinksUpToDate>false</LinksUpToDate>
  <CharactersWithSpaces>56378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РД 08-95-95</dc:title>
  <dc:subject/>
  <dc:creator>Попов </dc:creator>
  <cp:keywords/>
  <dc:description/>
  <cp:lastModifiedBy>PokrasovVA</cp:lastModifiedBy>
  <cp:revision>2</cp:revision>
  <dcterms:created xsi:type="dcterms:W3CDTF">2011-09-01T07:49:00Z</dcterms:created>
  <dcterms:modified xsi:type="dcterms:W3CDTF">2011-09-01T07:49:00Z</dcterms:modified>
</cp:coreProperties>
</file>