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 wp14:anchorId="4098062F" wp14:editId="23321DB4">
            <wp:extent cx="1447800" cy="1304925"/>
            <wp:effectExtent l="0" t="0" r="0" b="9525"/>
            <wp:docPr id="1" name="Рисунок 1" descr="http://sniphelp.ru/Data1/6/6652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niphelp.ru/Data1/6/6652/x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ГОСУДАРСТВЕННЫЙ СТАНДАРТ</w:t>
      </w: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br/>
        <w:t>СОЮЗА ССР</w:t>
      </w:r>
    </w:p>
    <w:p w:rsidR="00BC5CAE" w:rsidRPr="00BC5CAE" w:rsidRDefault="00BC5CAE" w:rsidP="00BC5CAE">
      <w:pPr>
        <w:shd w:val="clear" w:color="auto" w:fill="FFFFFF"/>
        <w:spacing w:before="45" w:after="45" w:line="240" w:lineRule="auto"/>
        <w:outlineLvl w:val="2"/>
        <w:rPr>
          <w:rFonts w:ascii="Tahoma" w:eastAsia="Times New Roman" w:hAnsi="Tahoma" w:cs="Tahoma"/>
          <w:color w:val="6B6C66"/>
          <w:sz w:val="18"/>
          <w:szCs w:val="18"/>
        </w:rPr>
      </w:pPr>
      <w:r w:rsidRPr="00BC5CAE">
        <w:rPr>
          <w:rFonts w:ascii="Tahoma" w:eastAsia="Times New Roman" w:hAnsi="Tahoma" w:cs="Tahoma"/>
          <w:b/>
          <w:bCs/>
          <w:color w:val="6B6C66"/>
          <w:sz w:val="18"/>
          <w:szCs w:val="18"/>
        </w:rPr>
        <w:t>КАТКИ ДОРОЖНЫЕ</w:t>
      </w:r>
    </w:p>
    <w:p w:rsidR="00BC5CAE" w:rsidRPr="00BC5CAE" w:rsidRDefault="00BC5CAE" w:rsidP="00BC5CAE">
      <w:pPr>
        <w:shd w:val="clear" w:color="auto" w:fill="FFFFFF"/>
        <w:spacing w:before="45" w:after="45" w:line="240" w:lineRule="auto"/>
        <w:outlineLvl w:val="2"/>
        <w:rPr>
          <w:rFonts w:ascii="Tahoma" w:eastAsia="Times New Roman" w:hAnsi="Tahoma" w:cs="Tahoma"/>
          <w:color w:val="6B6C66"/>
          <w:sz w:val="18"/>
          <w:szCs w:val="18"/>
        </w:rPr>
      </w:pPr>
      <w:r w:rsidRPr="00BC5CAE">
        <w:rPr>
          <w:rFonts w:ascii="Tahoma" w:eastAsia="Times New Roman" w:hAnsi="Tahoma" w:cs="Tahoma"/>
          <w:b/>
          <w:bCs/>
          <w:color w:val="6B6C66"/>
          <w:sz w:val="18"/>
          <w:szCs w:val="18"/>
        </w:rPr>
        <w:t>ТЕРМИНЫ И ОПРЕДЕЛЕНИЯ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bookmarkStart w:id="0" w:name="_GoBack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ГОСТ 21994-82</w:t>
      </w:r>
      <w:bookmarkEnd w:id="0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br/>
        <w:t>(</w:t>
      </w:r>
      <w:proofErr w:type="gramStart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СТ</w:t>
      </w:r>
      <w:proofErr w:type="gramEnd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СЭВ 2571-80)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ГОСУДАРСТВЕННЫЙ КОМИТЕТ СССР ПО СТАНДАРТАМ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Москва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РАЗРАБОТАН</w:t>
      </w:r>
      <w:proofErr w:type="gramEnd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Министерством строительного, дорожного и коммунального машиностроения</w:t>
      </w:r>
    </w:p>
    <w:p w:rsidR="00BC5CAE" w:rsidRPr="00BC5CAE" w:rsidRDefault="00BC5CAE" w:rsidP="00BC5CAE">
      <w:pPr>
        <w:shd w:val="clear" w:color="auto" w:fill="FFFFFF"/>
        <w:spacing w:before="45" w:after="45" w:line="240" w:lineRule="auto"/>
        <w:outlineLvl w:val="2"/>
        <w:rPr>
          <w:rFonts w:ascii="Tahoma" w:eastAsia="Times New Roman" w:hAnsi="Tahoma" w:cs="Tahoma"/>
          <w:color w:val="6B6C66"/>
          <w:sz w:val="18"/>
          <w:szCs w:val="18"/>
        </w:rPr>
      </w:pPr>
      <w:r w:rsidRPr="00BC5CAE">
        <w:rPr>
          <w:rFonts w:ascii="Tahoma" w:eastAsia="Times New Roman" w:hAnsi="Tahoma" w:cs="Tahoma"/>
          <w:color w:val="6B6C66"/>
          <w:sz w:val="18"/>
          <w:szCs w:val="18"/>
        </w:rPr>
        <w:t>ИСПОЛНИТЕЛИ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Г.С. Андреев </w:t>
      </w: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(руководитель темы)</w:t>
      </w: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, М.В. Ефименко, А.Н. Сорокин; Р.Г. </w:t>
      </w:r>
      <w:proofErr w:type="spellStart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Прикащиков</w:t>
      </w:r>
      <w:proofErr w:type="spellEnd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, В.М. </w:t>
      </w:r>
      <w:proofErr w:type="spellStart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Баскин</w:t>
      </w:r>
      <w:proofErr w:type="spellEnd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, Т.О. Кулешова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ВНЕСЕН</w:t>
      </w:r>
      <w:proofErr w:type="gramEnd"/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Министерством строительного, дорожного и коммунального машиностроения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Зам. министра</w:t>
      </w: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 В.А. Елецкий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УТВЕРЖДЕН И ВВЕДЕН В ДЕЙСТВИЕ Постановлением Государственного комитета СССР по стандартам от 30 декабря 1982. г. № 5307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Содержание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BC5CAE" w:rsidRPr="00BC5CAE" w:rsidTr="00BC5CAE">
        <w:trPr>
          <w:tblCellSpacing w:w="0" w:type="dxa"/>
          <w:jc w:val="center"/>
        </w:trPr>
        <w:tc>
          <w:tcPr>
            <w:tcW w:w="8040" w:type="dxa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6" w:anchor="i54356" w:history="1">
              <w:r w:rsidRPr="00BC5CAE">
                <w:rPr>
                  <w:rFonts w:ascii="Tahoma" w:eastAsia="Times New Roman" w:hAnsi="Tahoma" w:cs="Tahoma"/>
                  <w:color w:val="3D86FF"/>
                  <w:sz w:val="18"/>
                  <w:szCs w:val="18"/>
                  <w:u w:val="single"/>
                </w:rPr>
                <w:t>АЛФАВИТНЫЙ УКАЗАТЕЛЬ ТЕРМИНОВ</w:t>
              </w:r>
            </w:hyperlink>
          </w:p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7" w:anchor="i66002" w:history="1">
              <w:r w:rsidRPr="00BC5CAE">
                <w:rPr>
                  <w:rFonts w:ascii="Tahoma" w:eastAsia="Times New Roman" w:hAnsi="Tahoma" w:cs="Tahoma"/>
                  <w:i/>
                  <w:iCs/>
                  <w:color w:val="3D86FF"/>
                  <w:sz w:val="18"/>
                  <w:szCs w:val="18"/>
                  <w:u w:val="single"/>
                </w:rPr>
                <w:t>ПРИЛОЖЕНИЕ Обязательное</w:t>
              </w:r>
            </w:hyperlink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  <w:hyperlink r:id="rId8" w:anchor="i75956" w:history="1">
              <w:r w:rsidRPr="00BC5CAE">
                <w:rPr>
                  <w:rFonts w:ascii="Tahoma" w:eastAsia="Times New Roman" w:hAnsi="Tahoma" w:cs="Tahoma"/>
                  <w:color w:val="3D86FF"/>
                  <w:sz w:val="18"/>
                  <w:szCs w:val="18"/>
                  <w:u w:val="single"/>
                </w:rPr>
                <w:t>ПРАВИЛА ПОСТРОЕНИЯ НАИМЕНОВАНИЙ ДОРОЖНЫХ КАТКОВ</w:t>
              </w:r>
            </w:hyperlink>
          </w:p>
        </w:tc>
      </w:tr>
    </w:tbl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BC5C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ГОСУДАРСТВЕННЫЙ СТАНДАРТ СОЮЗА ССР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3345"/>
      </w:tblGrid>
      <w:tr w:rsidR="00BC5CAE" w:rsidRPr="00BC5CAE" w:rsidTr="00BC5CAE">
        <w:trPr>
          <w:tblCellSpacing w:w="0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КАТКИ ДОРОЖНЫЕ</w:t>
            </w:r>
          </w:p>
          <w:p w:rsidR="00BC5CAE" w:rsidRPr="00BC5CAE" w:rsidRDefault="00BC5CAE" w:rsidP="00BC5CAE">
            <w:pPr>
              <w:spacing w:before="100" w:beforeAutospacing="1" w:after="100" w:afterAutospacing="1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Термины и определения</w:t>
            </w:r>
          </w:p>
          <w:p w:rsidR="00BC5CAE" w:rsidRPr="00BC5CAE" w:rsidRDefault="00BC5CAE" w:rsidP="00BC5CAE">
            <w:pPr>
              <w:spacing w:before="45" w:after="45" w:line="240" w:lineRule="auto"/>
              <w:outlineLvl w:val="2"/>
              <w:rPr>
                <w:rFonts w:ascii="Tahoma" w:eastAsia="Times New Roman" w:hAnsi="Tahoma" w:cs="Tahoma"/>
                <w:color w:val="6B6C66"/>
                <w:sz w:val="18"/>
                <w:szCs w:val="18"/>
              </w:rPr>
            </w:pPr>
            <w:proofErr w:type="spellStart"/>
            <w:r w:rsidRPr="00BC5CAE">
              <w:rPr>
                <w:rFonts w:ascii="Tahoma" w:eastAsia="Times New Roman" w:hAnsi="Tahoma" w:cs="Tahoma"/>
                <w:color w:val="6B6C66"/>
                <w:sz w:val="18"/>
                <w:szCs w:val="18"/>
              </w:rPr>
              <w:t>Road-roller</w:t>
            </w:r>
            <w:proofErr w:type="spellEnd"/>
            <w:r w:rsidRPr="00BC5CAE">
              <w:rPr>
                <w:rFonts w:ascii="Tahoma" w:eastAsia="Times New Roman" w:hAnsi="Tahoma" w:cs="Tahoma"/>
                <w:color w:val="6B6C66"/>
                <w:sz w:val="18"/>
                <w:szCs w:val="18"/>
              </w:rPr>
              <w:t xml:space="preserve">. </w:t>
            </w:r>
            <w:proofErr w:type="spellStart"/>
            <w:r w:rsidRPr="00BC5CAE">
              <w:rPr>
                <w:rFonts w:ascii="Tahoma" w:eastAsia="Times New Roman" w:hAnsi="Tahoma" w:cs="Tahoma"/>
                <w:color w:val="6B6C66"/>
                <w:sz w:val="18"/>
                <w:szCs w:val="18"/>
              </w:rPr>
              <w:t>Terms</w:t>
            </w:r>
            <w:proofErr w:type="spellEnd"/>
            <w:r w:rsidRPr="00BC5CAE">
              <w:rPr>
                <w:rFonts w:ascii="Tahoma" w:eastAsia="Times New Roman" w:hAnsi="Tahoma" w:cs="Tahoma"/>
                <w:color w:val="6B6C66"/>
                <w:sz w:val="18"/>
                <w:szCs w:val="18"/>
              </w:rPr>
              <w:t xml:space="preserve"> </w:t>
            </w:r>
            <w:proofErr w:type="spellStart"/>
            <w:r w:rsidRPr="00BC5CAE">
              <w:rPr>
                <w:rFonts w:ascii="Tahoma" w:eastAsia="Times New Roman" w:hAnsi="Tahoma" w:cs="Tahoma"/>
                <w:color w:val="6B6C66"/>
                <w:sz w:val="18"/>
                <w:szCs w:val="18"/>
              </w:rPr>
              <w:t>and</w:t>
            </w:r>
            <w:proofErr w:type="spellEnd"/>
            <w:r w:rsidRPr="00BC5CAE">
              <w:rPr>
                <w:rFonts w:ascii="Tahoma" w:eastAsia="Times New Roman" w:hAnsi="Tahoma" w:cs="Tahoma"/>
                <w:color w:val="6B6C66"/>
                <w:sz w:val="18"/>
                <w:szCs w:val="18"/>
              </w:rPr>
              <w:t xml:space="preserve"> </w:t>
            </w:r>
            <w:proofErr w:type="spellStart"/>
            <w:r w:rsidRPr="00BC5CAE">
              <w:rPr>
                <w:rFonts w:ascii="Tahoma" w:eastAsia="Times New Roman" w:hAnsi="Tahoma" w:cs="Tahoma"/>
                <w:color w:val="6B6C66"/>
                <w:sz w:val="18"/>
                <w:szCs w:val="18"/>
              </w:rPr>
              <w:t>definitions</w:t>
            </w:r>
            <w:proofErr w:type="spellEnd"/>
            <w:r w:rsidRPr="00BC5CAE">
              <w:rPr>
                <w:rFonts w:ascii="Tahoma" w:eastAsia="Times New Roman" w:hAnsi="Tahoma" w:cs="Tahoma"/>
                <w:color w:val="6B6C66"/>
                <w:sz w:val="18"/>
                <w:szCs w:val="18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ГОСТ</w:t>
            </w: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br/>
              <w:t>21994-82</w:t>
            </w:r>
          </w:p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(CT СЭВ 2571-80)</w:t>
            </w: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br/>
              <w:t>Взамен</w:t>
            </w: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br/>
              <w:t>ГОСТ 21994-76</w:t>
            </w:r>
          </w:p>
        </w:tc>
      </w:tr>
    </w:tbl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Постановлением Государственного комитета СССР по стандартам от 30 декабря 1982 г. № 5307 срок введения установлен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b/>
          <w:bCs/>
          <w:color w:val="333333"/>
          <w:sz w:val="17"/>
          <w:szCs w:val="17"/>
          <w:u w:val="single"/>
        </w:rPr>
        <w:t>с 01.01.84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Настоящий стандарт устанавливает применяемые в науке, технике и производстве термины и определения понятий в области дорожных катков.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t>Термины, установленные стандартом, обязательны для применения в документации всех видов, научно-технической, учебной и справочной литературе.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 xml:space="preserve">Стандарт полностью соответствует </w:t>
      </w:r>
      <w:proofErr w:type="gramStart"/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СТ</w:t>
      </w:r>
      <w:proofErr w:type="gramEnd"/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 xml:space="preserve"> СЭВ 2571-80.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Для каждого понятия установлен один стандартизованный термин. Применение терминов - синонимов стандартизованного термина запрещается.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Установленные определения можно, при необходимости, изменять по форме изложения, не допуская нарушения границ понятий.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В случаях, когда необходимые и достаточные признаки понятия содержатся в буквальном значении термина, определение не приведено и, соответственно, в графе «Определение» поставлен прочерк.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В стандарте приведен алфавитный указатель содержащихся в нем терминов.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В стандарте имеется обязательное приложение, содержащее правила построения наименований дорожных катков.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Стандартизованные термины набраны полужирным шрифтом, краткая форма - светлым.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3089"/>
        <w:gridCol w:w="3668"/>
      </w:tblGrid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Термин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Определение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Схема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1.</w:t>
            </w: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Дорожный каток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Машина для уплотнения дорожно-строительного материала качением одного или нескольких рабочих органов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CAE" w:rsidRPr="00BC5CAE" w:rsidRDefault="00BC5CAE" w:rsidP="00BC5C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CAE" w:rsidRPr="00BC5CAE" w:rsidRDefault="00BC5CAE" w:rsidP="00BC5C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2. Статический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Дорожный каток для уплотнения собственной массой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3. Вибрационный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Дорожный каток для уплотнения собственной массой и периодическими колебаниями одного или нескольких рабочих органов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4. Вальцовый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Дорожный каток с рабочими органами в виде металлических вальцов.</w:t>
            </w:r>
          </w:p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Примечание.</w:t>
            </w: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 В соответствии с числом вальцов дорожному катку присваивается наименование </w:t>
            </w:r>
            <w:proofErr w:type="spellStart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одновальцовый</w:t>
            </w:r>
            <w:proofErr w:type="spellEnd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двухвальцовый</w:t>
            </w:r>
            <w:proofErr w:type="spellEnd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или </w:t>
            </w:r>
            <w:proofErr w:type="spellStart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трехвальцовый</w:t>
            </w:r>
            <w:proofErr w:type="spellEnd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 дорожный каток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5. Дорожный каток с гладкими вальцами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Вальцовый дорожный каток, ободья вальцов которого имеют гладкую рабочую поверхность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noProof/>
                <w:color w:val="333333"/>
                <w:sz w:val="17"/>
                <w:szCs w:val="17"/>
              </w:rPr>
              <w:drawing>
                <wp:inline distT="0" distB="0" distL="0" distR="0" wp14:anchorId="1A63420B" wp14:editId="6CE95BB6">
                  <wp:extent cx="1495425" cy="723900"/>
                  <wp:effectExtent l="0" t="0" r="9525" b="0"/>
                  <wp:docPr id="2" name="Рисунок 2" descr="http://sniphelp.ru/Data1/6/6652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niphelp.ru/Data1/6/6652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6. Кулачковый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Вальцовый дорожный каток, на ободе вальца которого жестко закреплены ряды кулачков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noProof/>
                <w:color w:val="333333"/>
                <w:sz w:val="17"/>
                <w:szCs w:val="17"/>
              </w:rPr>
              <w:drawing>
                <wp:inline distT="0" distB="0" distL="0" distR="0" wp14:anchorId="1BD9D7BC" wp14:editId="0F36100E">
                  <wp:extent cx="1657350" cy="685800"/>
                  <wp:effectExtent l="0" t="0" r="0" b="0"/>
                  <wp:docPr id="3" name="Рисунок 3" descr="http://sniphelp.ru/Data1/6/6652/x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niphelp.ru/Data1/6/6652/x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7. Решетчатый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Вальцовый дорожный каток, обод вальца которого имеет рабочую поверхность в виде решетки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noProof/>
                <w:color w:val="333333"/>
                <w:sz w:val="17"/>
                <w:szCs w:val="17"/>
              </w:rPr>
              <w:drawing>
                <wp:inline distT="0" distB="0" distL="0" distR="0" wp14:anchorId="2084BFD1" wp14:editId="1FBF7152">
                  <wp:extent cx="1685925" cy="723900"/>
                  <wp:effectExtent l="0" t="0" r="9525" b="0"/>
                  <wp:docPr id="4" name="Рисунок 4" descr="http://sniphelp.ru/Data1/6/6652/x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niphelp.ru/Data1/6/6652/x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8. Пластинчатый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Вальцовый дорожный каток, на ободе вальца которого шарнирно закреплены башмаки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noProof/>
                <w:color w:val="333333"/>
                <w:sz w:val="17"/>
                <w:szCs w:val="17"/>
              </w:rPr>
              <w:drawing>
                <wp:inline distT="0" distB="0" distL="0" distR="0" wp14:anchorId="16C65A3B" wp14:editId="52803CAF">
                  <wp:extent cx="1524000" cy="762000"/>
                  <wp:effectExtent l="0" t="0" r="0" b="0"/>
                  <wp:docPr id="5" name="Рисунок 5" descr="http://sniphelp.ru/Data1/6/6652/x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niphelp.ru/Data1/6/6652/x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lastRenderedPageBreak/>
              <w:t>9. Ребристый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Вальцовый дорожный каток, на ободе вальца которого закреплены ребра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noProof/>
                <w:color w:val="333333"/>
                <w:sz w:val="17"/>
                <w:szCs w:val="17"/>
              </w:rPr>
              <w:drawing>
                <wp:inline distT="0" distB="0" distL="0" distR="0" wp14:anchorId="20FD8BDE" wp14:editId="39EB746D">
                  <wp:extent cx="1466850" cy="685800"/>
                  <wp:effectExtent l="0" t="0" r="0" b="0"/>
                  <wp:docPr id="6" name="Рисунок 6" descr="http://sniphelp.ru/Data1/6/6652/x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niphelp.ru/Data1/6/6652/x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10. Пневмоколесный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Дорожный каток с рабочими органами в виде пневматических колес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noProof/>
                <w:color w:val="333333"/>
                <w:sz w:val="17"/>
                <w:szCs w:val="17"/>
              </w:rPr>
              <w:drawing>
                <wp:inline distT="0" distB="0" distL="0" distR="0" wp14:anchorId="513354FF" wp14:editId="3950A4D0">
                  <wp:extent cx="1609725" cy="809625"/>
                  <wp:effectExtent l="0" t="0" r="9525" b="9525"/>
                  <wp:docPr id="7" name="Рисунок 7" descr="http://sniphelp.ru/Data1/6/6652/x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niphelp.ru/Data1/6/6652/x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11. Комбинированный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Дорожный каток с уплотняющими органами, характерными для дорожных катков различного вида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12. Прицепной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Дорожный каток без собственного привода на передвижение, масса которого передается на уплотняемый материал через рабочий орган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13. Полуприцепной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Дорожный каток, масса которого передается на уплотняемый материал через рабочий орган и частично через тягач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14. Самоходный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Дорожный каток с двигателем, силовой передачей и движителем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15. Одноосный дорожный каток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Примечание</w:t>
            </w: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. В соответствии с числом осей дорожному катку присваивается наименование двухосный, трехосный дорожный каток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-</w:t>
            </w:r>
          </w:p>
        </w:tc>
      </w:tr>
    </w:tbl>
    <w:p w:rsidR="00BC5CAE" w:rsidRPr="00BC5CAE" w:rsidRDefault="00BC5CAE" w:rsidP="00BC5CAE">
      <w:pPr>
        <w:shd w:val="clear" w:color="auto" w:fill="FFFFFF"/>
        <w:spacing w:before="45" w:after="45" w:line="240" w:lineRule="auto"/>
        <w:outlineLvl w:val="2"/>
        <w:rPr>
          <w:rFonts w:ascii="Tahoma" w:eastAsia="Times New Roman" w:hAnsi="Tahoma" w:cs="Tahoma"/>
          <w:color w:val="6B6C66"/>
          <w:sz w:val="18"/>
          <w:szCs w:val="18"/>
        </w:rPr>
      </w:pPr>
      <w:bookmarkStart w:id="1" w:name="i54356"/>
      <w:bookmarkEnd w:id="1"/>
      <w:r w:rsidRPr="00BC5CAE">
        <w:rPr>
          <w:rFonts w:ascii="Tahoma" w:eastAsia="Times New Roman" w:hAnsi="Tahoma" w:cs="Tahoma"/>
          <w:b/>
          <w:bCs/>
          <w:color w:val="6B6C66"/>
          <w:sz w:val="18"/>
          <w:szCs w:val="18"/>
        </w:rPr>
        <w:t>АЛФАВИТНЫЙ УКАЗАТЕЛЬ ТЕРМИНОВ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2573"/>
      </w:tblGrid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outlineLvl w:val="4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BC5CA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Каток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вальцовый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вибрационный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комбинированный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11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кулачковый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6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одноосный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15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пластинчатый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8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пневмоколесный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10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полуприцепной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13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прицепной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12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ребристый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9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решетчатый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7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самоходный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14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с гладкими вальцами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5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Каток дорожный статический</w:t>
            </w:r>
          </w:p>
        </w:tc>
        <w:tc>
          <w:tcPr>
            <w:tcW w:w="13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2</w:t>
            </w:r>
          </w:p>
        </w:tc>
      </w:tr>
    </w:tbl>
    <w:p w:rsidR="00BC5CAE" w:rsidRPr="00BC5CAE" w:rsidRDefault="00BC5CAE" w:rsidP="00BC5CAE">
      <w:pPr>
        <w:shd w:val="clear" w:color="auto" w:fill="FFFFFF"/>
        <w:spacing w:before="45" w:after="45" w:line="240" w:lineRule="auto"/>
        <w:jc w:val="right"/>
        <w:outlineLvl w:val="0"/>
        <w:rPr>
          <w:rFonts w:ascii="Tahoma" w:eastAsia="Times New Roman" w:hAnsi="Tahoma" w:cs="Tahoma"/>
          <w:color w:val="6B6C66"/>
          <w:kern w:val="36"/>
          <w:sz w:val="32"/>
          <w:szCs w:val="32"/>
        </w:rPr>
      </w:pPr>
      <w:bookmarkStart w:id="2" w:name="i66002"/>
      <w:bookmarkEnd w:id="2"/>
      <w:r w:rsidRPr="00BC5CAE">
        <w:rPr>
          <w:rFonts w:ascii="Tahoma" w:eastAsia="Times New Roman" w:hAnsi="Tahoma" w:cs="Tahoma"/>
          <w:i/>
          <w:iCs/>
          <w:color w:val="6B6C66"/>
          <w:kern w:val="36"/>
          <w:sz w:val="32"/>
          <w:szCs w:val="32"/>
        </w:rPr>
        <w:t>ПРИЛОЖЕНИЕ</w:t>
      </w:r>
      <w:r w:rsidRPr="00BC5CAE">
        <w:rPr>
          <w:rFonts w:ascii="Tahoma" w:eastAsia="Times New Roman" w:hAnsi="Tahoma" w:cs="Tahoma"/>
          <w:i/>
          <w:iCs/>
          <w:color w:val="6B6C66"/>
          <w:kern w:val="36"/>
          <w:sz w:val="32"/>
          <w:szCs w:val="32"/>
        </w:rPr>
        <w:br/>
        <w:t>Обязательное</w:t>
      </w:r>
    </w:p>
    <w:p w:rsidR="00BC5CAE" w:rsidRPr="00BC5CAE" w:rsidRDefault="00BC5CAE" w:rsidP="00BC5CAE">
      <w:pPr>
        <w:shd w:val="clear" w:color="auto" w:fill="FFFFFF"/>
        <w:spacing w:before="45" w:after="45" w:line="240" w:lineRule="auto"/>
        <w:outlineLvl w:val="2"/>
        <w:rPr>
          <w:rFonts w:ascii="Tahoma" w:eastAsia="Times New Roman" w:hAnsi="Tahoma" w:cs="Tahoma"/>
          <w:color w:val="6B6C66"/>
          <w:sz w:val="18"/>
          <w:szCs w:val="18"/>
        </w:rPr>
      </w:pPr>
      <w:bookmarkStart w:id="3" w:name="i75956"/>
      <w:bookmarkEnd w:id="3"/>
      <w:r w:rsidRPr="00BC5CAE">
        <w:rPr>
          <w:rFonts w:ascii="Tahoma" w:eastAsia="Times New Roman" w:hAnsi="Tahoma" w:cs="Tahoma"/>
          <w:b/>
          <w:bCs/>
          <w:color w:val="6B6C66"/>
          <w:sz w:val="18"/>
          <w:szCs w:val="18"/>
        </w:rPr>
        <w:t>ПРАВИЛА ПОСТРОЕНИЯ НАИМЕНОВАНИЙ ДОРОЖНЫХ КАТКОВ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1. Наименования дорожных катков образуются сочетанием слов, характеризующих дорожный каток в последовательности, указанной в таблице.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В случаях, исключающих возможность недоразумения, слова, помеченные «*», могут опускаться. В этих случаях применяются краткие наименования дорожных катков.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2124"/>
        <w:gridCol w:w="1931"/>
        <w:gridCol w:w="1737"/>
        <w:gridCol w:w="1737"/>
      </w:tblGrid>
      <w:tr w:rsidR="00BC5CAE" w:rsidRPr="00BC5CAE" w:rsidTr="00BC5CAE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По принципу действия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По виду рабочего органа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По способу передвижения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По числу осей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По числу пальцев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Статический*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 xml:space="preserve">С гладкими </w:t>
            </w: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lastRenderedPageBreak/>
              <w:t>вальцами*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lastRenderedPageBreak/>
              <w:t>Прицепной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Одноосный*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proofErr w:type="spellStart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Одновальцовый</w:t>
            </w:r>
            <w:proofErr w:type="spellEnd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*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lastRenderedPageBreak/>
              <w:t>Вибрационный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Кулачковый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Полуприцепной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Двухосный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proofErr w:type="spellStart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Двухвальцовый</w:t>
            </w:r>
            <w:proofErr w:type="spellEnd"/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Решетчатый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Самоходный*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Трехосный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proofErr w:type="spellStart"/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Трехвальцовый</w:t>
            </w:r>
            <w:proofErr w:type="spellEnd"/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CAE" w:rsidRPr="00BC5CAE" w:rsidRDefault="00BC5CAE" w:rsidP="00BC5C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Пластинчатый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CAE" w:rsidRPr="00BC5CAE" w:rsidRDefault="00BC5CAE" w:rsidP="00BC5C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Ребристый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CAE" w:rsidRPr="00BC5CAE" w:rsidRDefault="00BC5CAE" w:rsidP="00BC5C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Пневмоколесный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</w:tr>
      <w:tr w:rsidR="00BC5CAE" w:rsidRPr="00BC5CAE" w:rsidTr="00BC5C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CAE" w:rsidRPr="00BC5CAE" w:rsidRDefault="00BC5CAE" w:rsidP="00BC5CA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Комбинированный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5CAE" w:rsidRPr="00BC5CAE" w:rsidRDefault="00BC5CAE" w:rsidP="00BC5C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BC5CAE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</w:tc>
      </w:tr>
    </w:tbl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2. Примеры наименований дорожных катков.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2.1. Полное наименование: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 xml:space="preserve">Статический с гладкими вальцами самоходный двухосный </w:t>
      </w:r>
      <w:proofErr w:type="spellStart"/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трехвальцовый</w:t>
      </w:r>
      <w:proofErr w:type="spellEnd"/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 xml:space="preserve"> дорожный каток.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Краткое наименование: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 xml:space="preserve">Двухосный </w:t>
      </w:r>
      <w:proofErr w:type="spellStart"/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трехвальцовый</w:t>
      </w:r>
      <w:proofErr w:type="spellEnd"/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 xml:space="preserve"> каток.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2.2. Полное наименование: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Статический пневмоколесный самоходный двухосный дорожный каток.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Краткое наименование: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Пневмоколесный двухосный каток.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2.3. Полное наименование: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Вибрационный кулачковый прицепной одноосный дорожный каток.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Краткое наименование: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Вибрационный кулачковый прицепной каток.</w:t>
      </w:r>
    </w:p>
    <w:p w:rsidR="00BC5CAE" w:rsidRPr="00BC5CAE" w:rsidRDefault="00BC5CAE" w:rsidP="00BC5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C5CA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346BB" w:rsidRDefault="005346BB"/>
    <w:sectPr w:rsidR="0053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AE"/>
    <w:rsid w:val="005346BB"/>
    <w:rsid w:val="00B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iphelp.ru/constructing/007.001/GOST_21994-82_6652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sniphelp.ru/constructing/007.001/GOST_21994-82_6652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niphelp.ru/constructing/007.001/GOST_21994-82_6652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2014-07-17T06:03:00Z</dcterms:created>
  <dcterms:modified xsi:type="dcterms:W3CDTF">2014-07-17T06:04:00Z</dcterms:modified>
</cp:coreProperties>
</file>